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0FD94" w14:textId="77777777" w:rsidR="005B2487" w:rsidRPr="005B2487" w:rsidRDefault="005B2487">
      <w:pPr>
        <w:rPr>
          <w:b/>
        </w:rPr>
      </w:pPr>
      <w:r w:rsidRPr="005B2487">
        <w:rPr>
          <w:b/>
        </w:rPr>
        <w:t>NAKEDNESS - ( erwah , Strong's H6172 )</w:t>
      </w:r>
    </w:p>
    <w:p w14:paraId="2A9BDD9B" w14:textId="77777777" w:rsidR="005B2487" w:rsidRDefault="005B2487">
      <w:r w:rsidRPr="005B2487">
        <w:rPr>
          <w:b/>
        </w:rPr>
        <w:t>Summary:</w:t>
      </w:r>
    </w:p>
    <w:p w14:paraId="059694D4" w14:textId="77777777" w:rsidR="005B2487" w:rsidRDefault="005B2487">
      <w:r>
        <w:t>The Hebrew noun ‘erwāh refers to nakedness, bareness, or exposed private parts, carrying strong connotations of vulnerability, shame, and moral impropriety throughout the Old Testament. In the context of the Aaronic priesthood, it designates the physical exposure that must be covered during sacred service. Unlike the pagan worship of surrounding nations, which often incorporated ritual nudity and sexualized rites, Yahweh's worship demanded absolute holiness, modesty, and dignity. The provision of linen undergarments to cover the priests' nakedness from waist to thigh reflects God's holiness and His protective care in covering human shame, a theme that traces back to the coverings of skin in Genesis 3.</w:t>
      </w:r>
    </w:p>
    <w:p w14:paraId="11641F1E" w14:textId="77777777" w:rsidR="005B2487" w:rsidRDefault="005B2487"/>
    <w:p w14:paraId="2506B5D1" w14:textId="77777777" w:rsidR="005B2487" w:rsidRDefault="005B2487">
      <w:r w:rsidRPr="005B2487">
        <w:rPr>
          <w:b/>
        </w:rPr>
        <w:t>Full Study:</w:t>
      </w:r>
    </w:p>
    <w:p w14:paraId="15D0F72B" w14:textId="77777777" w:rsidR="005B2487" w:rsidRDefault="005B2487"/>
    <w:p w14:paraId="7999891F" w14:textId="77777777" w:rsidR="005B2487" w:rsidRPr="005B2487" w:rsidRDefault="005B2487">
      <w:pPr>
        <w:rPr>
          <w:b/>
        </w:rPr>
      </w:pPr>
      <w:r w:rsidRPr="005B2487">
        <w:rPr>
          <w:b/>
        </w:rPr>
        <w:t>1. Word Picture / Background</w:t>
      </w:r>
    </w:p>
    <w:p w14:paraId="34F883CD" w14:textId="77777777" w:rsidR="005B2487" w:rsidRDefault="005B2487">
      <w:r>
        <w:t>The root of ‘erwāh is the verb ‘ārāh, which means "to make bare," "to empty out," or "to pour out." In the ancient Near East, nakedness was not merely a physical state but a profound symbol of shame, defeat, and social degradation. To be stripped naked was the fate of captives, debtors, and those under divine judgment. Culturally, the ancient Canaanite and Egyptian religions frequently associated fertility, sexuality, and worship, sometimes featuring ritual nudity or sexually explicit representations. In stark contrast, Yahweh established an absolute boundary between the sacred and the sexual, requiring His priests to be fully and decently covered. The word ‘erwāh carries the weight of this cultural boundary, emphasizing that human exposure before a holy God is inappropriate and requires covering.</w:t>
      </w:r>
    </w:p>
    <w:p w14:paraId="3D2CC238" w14:textId="77777777" w:rsidR="005B2487" w:rsidRDefault="005B2487"/>
    <w:p w14:paraId="6A7A7373" w14:textId="77777777" w:rsidR="005B2487" w:rsidRPr="005B2487" w:rsidRDefault="005B2487">
      <w:pPr>
        <w:rPr>
          <w:b/>
        </w:rPr>
      </w:pPr>
      <w:r w:rsidRPr="005B2487">
        <w:rPr>
          <w:b/>
        </w:rPr>
        <w:t>2. Meaning / Lexical Definition</w:t>
      </w:r>
    </w:p>
    <w:p w14:paraId="3F7CAE8C" w14:textId="77777777" w:rsidR="005B2487" w:rsidRDefault="005B2487">
      <w:r>
        <w:t>The noun ‘erwāh denotes nakedness, bareness, or the private parts (specifically the genitals). Its semantic range includes:</w:t>
      </w:r>
    </w:p>
    <w:p w14:paraId="55BD8A29" w14:textId="77777777" w:rsidR="005B2487" w:rsidRDefault="005B2487">
      <w:r>
        <w:t>• Physical nakedness or exposure of the body, particularly the reproductive organs.</w:t>
      </w:r>
    </w:p>
    <w:p w14:paraId="7B22EAB2" w14:textId="77777777" w:rsidR="005B2487" w:rsidRDefault="005B2487">
      <w:r>
        <w:t>• Figurative exposure or vulnerability, such as the "nakedness of the land" (its undefended state or weak points, as in Genesis 42:9).</w:t>
      </w:r>
    </w:p>
    <w:p w14:paraId="6E47C5E7" w14:textId="77777777" w:rsidR="005B2487" w:rsidRDefault="005B2487">
      <w:r>
        <w:t>• Figurative shame or disgrace resulting from exposure or improper relationships.</w:t>
      </w:r>
    </w:p>
    <w:p w14:paraId="792314FA" w14:textId="77777777" w:rsidR="005B2487" w:rsidRDefault="005B2487">
      <w:r>
        <w:t>In the legal codes of Leviticus, the phrase "to uncover the nakedness" (gālāh ‘erwāh) is a technical idiom for committing incest or engaging in illicit sexual intercourse. In Exodus 28:42, however, the word is used in its literal, physical sense to refer to the priestly thigh and groin area that must be covered during tabernacle service.</w:t>
      </w:r>
    </w:p>
    <w:p w14:paraId="65D7C3E5" w14:textId="77777777" w:rsidR="005B2487" w:rsidRDefault="005B2487"/>
    <w:p w14:paraId="3B47CF30" w14:textId="77777777" w:rsidR="005B2487" w:rsidRPr="005B2487" w:rsidRDefault="005B2487">
      <w:pPr>
        <w:rPr>
          <w:b/>
        </w:rPr>
      </w:pPr>
      <w:r w:rsidRPr="005B2487">
        <w:rPr>
          <w:b/>
        </w:rPr>
        <w:t>3. Usage and Word Pictures</w:t>
      </w:r>
    </w:p>
    <w:p w14:paraId="6C63CDE2" w14:textId="77777777" w:rsidR="005B2487" w:rsidRDefault="005B2487">
      <w:r>
        <w:t>Throughout the Old Testament, ‘erwāh is used in several vivid ways:</w:t>
      </w:r>
    </w:p>
    <w:p w14:paraId="0817CD27" w14:textId="77777777" w:rsidR="005B2487" w:rsidRDefault="005B2487">
      <w:r>
        <w:t>• The Shame of Exposure: After the Flood, Noah drank wine and lay uncovered in his tent; Ham saw his father’s ‘erwāh, which brought a curse upon his descendants (Genesis 9:22–23).</w:t>
      </w:r>
    </w:p>
    <w:p w14:paraId="7110CDE4" w14:textId="77777777" w:rsidR="005B2487" w:rsidRDefault="005B2487">
      <w:r>
        <w:t>• Marital and Sexual Boundaries: Leviticus 18 and 20 use ‘erwāh repeatedly to define unlawful sexual relations, framing them as exposing the nakedness of family members.</w:t>
      </w:r>
    </w:p>
    <w:p w14:paraId="1B2843B9" w14:textId="77777777" w:rsidR="005B2487" w:rsidRDefault="005B2487">
      <w:r>
        <w:t>• National Vulnerability: Joseph accused his brothers of coming to see the "nakedness of the land" (‘erwat hā’āreṣ), meaning its undefended borders (Genesis 42:9, 12).</w:t>
      </w:r>
    </w:p>
    <w:p w14:paraId="1D718F59" w14:textId="77777777" w:rsidR="005B2487" w:rsidRDefault="005B2487">
      <w:r>
        <w:t>• Spiritual Adultery: In Ezekiel 16 and 23, the term is used metaphorically to describe Jerusalem’s spiritual harlotry and the political alliances that left her spiritually and physically exposed and humiliated before her enemies.</w:t>
      </w:r>
    </w:p>
    <w:p w14:paraId="785FAF99" w14:textId="77777777" w:rsidR="005B2487" w:rsidRDefault="005B2487"/>
    <w:p w14:paraId="049F9202" w14:textId="77777777" w:rsidR="005B2487" w:rsidRPr="005B2487" w:rsidRDefault="005B2487">
      <w:pPr>
        <w:rPr>
          <w:b/>
        </w:rPr>
      </w:pPr>
      <w:r w:rsidRPr="005B2487">
        <w:rPr>
          <w:b/>
        </w:rPr>
        <w:t>4. Theological Implications</w:t>
      </w:r>
    </w:p>
    <w:p w14:paraId="24FF5FF5" w14:textId="77777777" w:rsidR="005B2487" w:rsidRDefault="005B2487">
      <w:r>
        <w:t>The requirement to cover ‘erwāh in the presence of God carries deep theological significance:</w:t>
      </w:r>
    </w:p>
    <w:p w14:paraId="5C81812C" w14:textId="77777777" w:rsidR="005B2487" w:rsidRDefault="005B2487">
      <w:r>
        <w:t>• Echoes of the Fall: Human awareness of nakedness and the subsequent sense of shame began in the Garden of Eden after the Fall (Genesis 3:7). God’s action of making coats of skins to clothe Adam and Eve established the principle that human nakedness must be covered by a divinely provided covering before humans can relate to a holy God.</w:t>
      </w:r>
    </w:p>
    <w:p w14:paraId="0F99709C" w14:textId="77777777" w:rsidR="005B2487" w:rsidRDefault="005B2487">
      <w:r>
        <w:t>• Separation from Paganism: Pagan cults often used nudity or sexual display as a means to invoke or manipulate divine fertility. Yahweh's demands for the priesthood categorically rejected these practices, establishing that the worship of the true God is characterized by order, dignity, and moral purity.</w:t>
      </w:r>
    </w:p>
    <w:p w14:paraId="2E88549A" w14:textId="77777777" w:rsidR="005B2487" w:rsidRDefault="005B2487">
      <w:r>
        <w:t>• Grace and Mediation: The priest served as the mediator between a holy God and a sinful people. If a priest approached the altar with exposed ‘erwāh, he would bring defilement and die. The provision of linen trousers represents God’s grace in providing the specific means by which His servants can safely draw near to His holy presence.</w:t>
      </w:r>
    </w:p>
    <w:p w14:paraId="25C1F139" w14:textId="77777777" w:rsidR="005B2487" w:rsidRDefault="005B2487"/>
    <w:p w14:paraId="3D662DE9" w14:textId="77777777" w:rsidR="005B2487" w:rsidRPr="005B2487" w:rsidRDefault="005B2487">
      <w:pPr>
        <w:rPr>
          <w:b/>
        </w:rPr>
      </w:pPr>
      <w:r w:rsidRPr="005B2487">
        <w:rPr>
          <w:b/>
        </w:rPr>
        <w:t>5. Contextual Nuance in the Passage</w:t>
      </w:r>
    </w:p>
    <w:p w14:paraId="78218A81" w14:textId="77777777" w:rsidR="005B2487" w:rsidRDefault="005B2487">
      <w:r>
        <w:t>In Exodus 28:42, the command to make "linen trousers to cover their nakedness" (mikn’sê-bad ləkassôt bəśar ‘erwāh) serves a very practical and liturgical function. The priests wore tunics that could potentially rise or shift during the physical labor of sacrificing animals and ascending the steps of the altar. In Exodus 20:26, God had already commanded, "Nor shall you go up by steps to My altar, that your nakedness may not be exposed on it." The linen undergarments ensured that even when climbing, bending, or lifting, the priest's physical nakedness remained fully and modestly covered, maintaining the sanctity of the altar and protecting the priest from death.</w:t>
      </w:r>
    </w:p>
    <w:p w14:paraId="4A3CB71C" w14:textId="77777777" w:rsidR="005B2487" w:rsidRDefault="005B2487"/>
    <w:p w14:paraId="4E69F039" w14:textId="77777777" w:rsidR="005B2487" w:rsidRPr="005B2487" w:rsidRDefault="005B2487">
      <w:pPr>
        <w:rPr>
          <w:b/>
        </w:rPr>
      </w:pPr>
      <w:r w:rsidRPr="005B2487">
        <w:rPr>
          <w:b/>
        </w:rPr>
        <w:t>6. Key Uses in Other Verses (NKJV)</w:t>
      </w:r>
    </w:p>
    <w:p w14:paraId="76BD8949" w14:textId="77777777" w:rsidR="005B2487" w:rsidRDefault="005B2487">
      <w:r>
        <w:t>• Genesis 9:23: "But Shem and Japheth took a garment, laid it on both their shoulders, and went backward and covered the nakedness of their father."</w:t>
      </w:r>
    </w:p>
    <w:p w14:paraId="4744E587" w14:textId="77777777" w:rsidR="005B2487" w:rsidRDefault="005B2487">
      <w:r>
        <w:t>• Exodus 20:26: "Nor shall you go up by steps to My altar, that your nakedness may not be exposed on it."</w:t>
      </w:r>
    </w:p>
    <w:p w14:paraId="0EEEA2C6" w14:textId="77777777" w:rsidR="005B2487" w:rsidRDefault="005B2487">
      <w:r>
        <w:t>• Leviticus 18:6: "None of you shall approach anyone who is near of kin to him, to uncover his nakedness: I am the LORD."</w:t>
      </w:r>
    </w:p>
    <w:p w14:paraId="0DB477D1" w14:textId="77777777" w:rsidR="005B2487" w:rsidRDefault="005B2487">
      <w:r>
        <w:t>• Lamentations 1:8: "Jerusalem has sinned greatly, therefore she has become vile. All who honored her despise her because they have seen her nakedness; yes, she sighs and turns backward."</w:t>
      </w:r>
    </w:p>
    <w:p w14:paraId="4A8F9F26" w14:textId="77777777" w:rsidR="005B2487" w:rsidRDefault="005B2487"/>
    <w:p w14:paraId="67D5A8A7" w14:textId="77777777" w:rsidR="005B2487" w:rsidRPr="005B2487" w:rsidRDefault="005B2487">
      <w:pPr>
        <w:rPr>
          <w:b/>
        </w:rPr>
      </w:pPr>
      <w:r w:rsidRPr="005B2487">
        <w:rPr>
          <w:b/>
        </w:rPr>
        <w:t>7. Other Relevant Insights</w:t>
      </w:r>
    </w:p>
    <w:p w14:paraId="42FA5D23" w14:textId="77777777" w:rsidR="005B2487" w:rsidRDefault="005B2487">
      <w:r>
        <w:t>The material specified for these undergarments is linen (bad). Linen was chosen for its coolness and purity. Unlike wool, linen does not cause the wearer to sweat (Ezekiel 44:18). In the ancient Near East, sweat was associated with human labor and physical impurity. By using cool linen to cover their physical nakedness, the priests were kept from sweating in the tabernacle, symbolizing that ministry in God's presence must be marked by purity, quiet dignity, and freedom from the frantic self-effort of the flesh.</w:t>
      </w:r>
    </w:p>
    <w:p w14:paraId="6E3C3061" w14:textId="77777777" w:rsidR="005B2487" w:rsidRDefault="005B2487"/>
    <w:p w14:paraId="555A4A7D" w14:textId="77777777" w:rsidR="005B2487" w:rsidRPr="005B2487" w:rsidRDefault="005B2487">
      <w:pPr>
        <w:rPr>
          <w:b/>
        </w:rPr>
      </w:pPr>
      <w:r w:rsidRPr="005B2487">
        <w:rPr>
          <w:b/>
        </w:rPr>
        <w:t>8. References</w:t>
      </w:r>
    </w:p>
    <w:p w14:paraId="0A41AC42" w14:textId="77777777" w:rsidR="005B2487" w:rsidRDefault="005B2487">
      <w:r>
        <w:t>• Blue Letter Bible</w:t>
      </w:r>
    </w:p>
    <w:p w14:paraId="2C2EE4F5" w14:textId="77777777" w:rsidR="005B2487" w:rsidRDefault="005B2487">
      <w:r>
        <w:t>• Brown-Driver-Briggs Hebrew and English Lexicon</w:t>
      </w:r>
    </w:p>
    <w:p w14:paraId="41BF2F22" w14:textId="77777777" w:rsidR="005B2487" w:rsidRDefault="005B2487">
      <w:r>
        <w:t>• Theological Wordbook of the Old Testament</w:t>
      </w:r>
    </w:p>
    <w:p w14:paraId="278408AE" w14:textId="77777777" w:rsidR="005B2487" w:rsidRDefault="005B2487">
      <w:r>
        <w:t>• Hebrew and Aramaic Lexicon of the Old Testament (HALOT)</w:t>
      </w:r>
    </w:p>
    <w:p w14:paraId="33E853F4" w14:textId="77777777" w:rsidR="005B2487" w:rsidRDefault="005B2487">
      <w:r>
        <w:t>• Vine's Expository Dictionary of Old and New Testament Words</w:t>
      </w:r>
    </w:p>
    <w:p w14:paraId="109E5547" w14:textId="72E98470" w:rsidR="004C5552" w:rsidRDefault="005B2487">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4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B2487"/>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1513D"/>
  <w15:chartTrackingRefBased/>
  <w15:docId w15:val="{D10CA1B9-469E-4461-A002-597401256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2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2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487"/>
    <w:rPr>
      <w:rFonts w:eastAsiaTheme="majorEastAsia" w:cstheme="majorBidi"/>
      <w:color w:val="272727" w:themeColor="text1" w:themeTint="D8"/>
    </w:rPr>
  </w:style>
  <w:style w:type="paragraph" w:styleId="Title">
    <w:name w:val="Title"/>
    <w:basedOn w:val="Normal"/>
    <w:next w:val="Normal"/>
    <w:link w:val="TitleChar"/>
    <w:uiPriority w:val="10"/>
    <w:qFormat/>
    <w:rsid w:val="005B2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487"/>
    <w:pPr>
      <w:spacing w:before="160"/>
      <w:jc w:val="center"/>
    </w:pPr>
    <w:rPr>
      <w:i/>
      <w:iCs/>
      <w:color w:val="404040" w:themeColor="text1" w:themeTint="BF"/>
    </w:rPr>
  </w:style>
  <w:style w:type="character" w:customStyle="1" w:styleId="QuoteChar">
    <w:name w:val="Quote Char"/>
    <w:basedOn w:val="DefaultParagraphFont"/>
    <w:link w:val="Quote"/>
    <w:uiPriority w:val="29"/>
    <w:rsid w:val="005B2487"/>
    <w:rPr>
      <w:i/>
      <w:iCs/>
      <w:color w:val="404040" w:themeColor="text1" w:themeTint="BF"/>
    </w:rPr>
  </w:style>
  <w:style w:type="paragraph" w:styleId="ListParagraph">
    <w:name w:val="List Paragraph"/>
    <w:basedOn w:val="Normal"/>
    <w:uiPriority w:val="34"/>
    <w:qFormat/>
    <w:rsid w:val="005B2487"/>
    <w:pPr>
      <w:ind w:left="720"/>
      <w:contextualSpacing/>
    </w:pPr>
  </w:style>
  <w:style w:type="character" w:styleId="IntenseEmphasis">
    <w:name w:val="Intense Emphasis"/>
    <w:basedOn w:val="DefaultParagraphFont"/>
    <w:uiPriority w:val="21"/>
    <w:qFormat/>
    <w:rsid w:val="005B2487"/>
    <w:rPr>
      <w:i/>
      <w:iCs/>
      <w:color w:val="2E74B5" w:themeColor="accent1" w:themeShade="BF"/>
    </w:rPr>
  </w:style>
  <w:style w:type="paragraph" w:styleId="IntenseQuote">
    <w:name w:val="Intense Quote"/>
    <w:basedOn w:val="Normal"/>
    <w:next w:val="Normal"/>
    <w:link w:val="IntenseQuoteChar"/>
    <w:uiPriority w:val="30"/>
    <w:qFormat/>
    <w:rsid w:val="005B24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2487"/>
    <w:rPr>
      <w:i/>
      <w:iCs/>
      <w:color w:val="2E74B5" w:themeColor="accent1" w:themeShade="BF"/>
    </w:rPr>
  </w:style>
  <w:style w:type="character" w:styleId="IntenseReference">
    <w:name w:val="Intense Reference"/>
    <w:basedOn w:val="DefaultParagraphFont"/>
    <w:uiPriority w:val="32"/>
    <w:qFormat/>
    <w:rsid w:val="005B24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966</Words>
  <Characters>5510</Characters>
  <Application>Microsoft Office Word</Application>
  <DocSecurity>0</DocSecurity>
  <Lines>45</Lines>
  <Paragraphs>12</Paragraphs>
  <ScaleCrop>false</ScaleCrop>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