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7C27" w14:textId="77777777" w:rsidR="004409BE" w:rsidRPr="004409BE" w:rsidRDefault="004409BE">
      <w:pPr>
        <w:rPr>
          <w:b/>
        </w:rPr>
      </w:pPr>
      <w:r w:rsidRPr="004409BE">
        <w:rPr>
          <w:b/>
        </w:rPr>
        <w:t>SIN OFFERING - ( chattath , Strong's H2403 )</w:t>
      </w:r>
    </w:p>
    <w:p w14:paraId="4FDCC0D9" w14:textId="77777777" w:rsidR="004409BE" w:rsidRDefault="004409BE">
      <w:r w:rsidRPr="004409BE">
        <w:rPr>
          <w:b/>
        </w:rPr>
        <w:t>Summary:</w:t>
      </w:r>
    </w:p>
    <w:p w14:paraId="050ED571" w14:textId="77777777" w:rsidR="004409BE" w:rsidRDefault="004409BE">
      <w:r>
        <w:t>The Hebrew noun chattath primarily refers to "sin," "guilt," or the "sin offering" presented to make atonement. In Exodus 29:14, during the solemn consecration of Aaron and his sons to the priesthood, this word designates the sacrificial animal slaughtered to purify the priests and the altar. By identifying the sacrifice with the same word used for the offense itself, the Hebrew text illustrates the principle of substitution: the innocent victim bears the identity and consequences of the sinner's transgression. Burned outside the camp, this initial sin offering establishes that even those called to the highest spiritual offices must first be cleansed by blood before they can approach a holy God.</w:t>
      </w:r>
    </w:p>
    <w:p w14:paraId="3460C67D" w14:textId="77777777" w:rsidR="004409BE" w:rsidRDefault="004409BE"/>
    <w:p w14:paraId="1F6FA275" w14:textId="77777777" w:rsidR="004409BE" w:rsidRDefault="004409BE">
      <w:r w:rsidRPr="004409BE">
        <w:rPr>
          <w:b/>
        </w:rPr>
        <w:t>Full Study:</w:t>
      </w:r>
    </w:p>
    <w:p w14:paraId="6CBC66FC" w14:textId="77777777" w:rsidR="004409BE" w:rsidRDefault="004409BE"/>
    <w:p w14:paraId="1705C1A8" w14:textId="77777777" w:rsidR="004409BE" w:rsidRPr="004409BE" w:rsidRDefault="004409BE">
      <w:pPr>
        <w:rPr>
          <w:b/>
        </w:rPr>
      </w:pPr>
      <w:r w:rsidRPr="004409BE">
        <w:rPr>
          <w:b/>
        </w:rPr>
        <w:t xml:space="preserve"> 1. Word Picture / Background</w:t>
      </w:r>
    </w:p>
    <w:p w14:paraId="6807A2B3" w14:textId="77777777" w:rsidR="004409BE" w:rsidRDefault="004409BE">
      <w:r>
        <w:t xml:space="preserve">The noun chattath derives from the root verb chata', which fundamentally means "to miss the mark" or "to miss the way." </w:t>
      </w:r>
    </w:p>
    <w:p w14:paraId="30B14A4D" w14:textId="77777777" w:rsidR="004409BE" w:rsidRDefault="004409BE">
      <w:r>
        <w:t>• In non-theological contexts, the root describes an archer missing a target or a traveler slipping off a path (Judges 20:16; Proverbs 19:2).</w:t>
      </w:r>
    </w:p>
    <w:p w14:paraId="657B1AA6" w14:textId="77777777" w:rsidR="004409BE" w:rsidRDefault="004409BE">
      <w:r>
        <w:t>• When applied morally, the target is God's perfect standard of righteousness. To sin is to fall short of His law, stray from His path, and fail in one's covenant obligations.</w:t>
      </w:r>
    </w:p>
    <w:p w14:paraId="1CB43F8D" w14:textId="77777777" w:rsidR="004409BE" w:rsidRDefault="004409BE">
      <w:r>
        <w:t>• Over time, the noun chattath developed a double meaning. It represents both the offense itself (sin) and the ritual instrument used to remove it (the sin offering). This linguistic overlap creates a powerful word picture: the sacrifice becomes so closely identified with the worshiper's transgression that the offering itself is called "sin."</w:t>
      </w:r>
    </w:p>
    <w:p w14:paraId="1BCC3EDA" w14:textId="77777777" w:rsidR="004409BE" w:rsidRDefault="004409BE"/>
    <w:p w14:paraId="19C33D9A" w14:textId="77777777" w:rsidR="004409BE" w:rsidRPr="004409BE" w:rsidRDefault="004409BE">
      <w:pPr>
        <w:rPr>
          <w:b/>
        </w:rPr>
      </w:pPr>
      <w:r w:rsidRPr="004409BE">
        <w:rPr>
          <w:b/>
        </w:rPr>
        <w:t xml:space="preserve"> 2. Meaning / Lexical Definition</w:t>
      </w:r>
    </w:p>
    <w:p w14:paraId="29CBDBF5" w14:textId="77777777" w:rsidR="004409BE" w:rsidRDefault="004409BE">
      <w:r>
        <w:t>The noun chattath occurs nearly 300 times in the Old Testament, carrying two primary senses depending on the context:</w:t>
      </w:r>
    </w:p>
    <w:p w14:paraId="539A54A5" w14:textId="77777777" w:rsidR="004409BE" w:rsidRDefault="004409BE">
      <w:r>
        <w:t>• Sin or Transgression: The moral violation of God's law, the state of guilt resulting from that violation, or the inner disposition of rebellion.</w:t>
      </w:r>
    </w:p>
    <w:p w14:paraId="4496A7CF" w14:textId="77777777" w:rsidR="004409BE" w:rsidRDefault="004409BE">
      <w:r>
        <w:t>• Sin Offering or Purification Offering: The sacrifice prescribed by God to purge ritual uncleanness, inadvertent offenses, and moral guilt from the individual and the sanctuary.</w:t>
      </w:r>
    </w:p>
    <w:p w14:paraId="4C28BE21" w14:textId="77777777" w:rsidR="004409BE" w:rsidRDefault="004409BE">
      <w:r>
        <w:t>• Strictly speaking, the verbal form in the Piel stem means "to cleanse," "to purify," or "to make a sin offering." For this reason, the chattath is often understood as a "purification offering." It does not merely pay a legal penalty; it actively decontaminates God's dwelling place from the spiritual pollution caused by human failure.</w:t>
      </w:r>
    </w:p>
    <w:p w14:paraId="3636AD21" w14:textId="77777777" w:rsidR="004409BE" w:rsidRDefault="004409BE"/>
    <w:p w14:paraId="157215F1" w14:textId="77777777" w:rsidR="004409BE" w:rsidRPr="004409BE" w:rsidRDefault="004409BE">
      <w:pPr>
        <w:rPr>
          <w:b/>
        </w:rPr>
      </w:pPr>
      <w:r w:rsidRPr="004409BE">
        <w:rPr>
          <w:b/>
        </w:rPr>
        <w:t xml:space="preserve"> 3. Usage and Word Pictures</w:t>
      </w:r>
    </w:p>
    <w:p w14:paraId="77CED219" w14:textId="77777777" w:rsidR="004409BE" w:rsidRDefault="004409BE">
      <w:r>
        <w:t xml:space="preserve">The dual usage of chattath as both "sin" and "sin offering" yields a rich theological vocabulary. </w:t>
      </w:r>
    </w:p>
    <w:p w14:paraId="19221383" w14:textId="77777777" w:rsidR="004409BE" w:rsidRDefault="004409BE">
      <w:r>
        <w:t>• In the sacrificial system, the worshiper laid hands on the head of the chattath (the animal), symbolically transferring their own chattath (sin) to the victim.</w:t>
      </w:r>
    </w:p>
    <w:p w14:paraId="76E232D4" w14:textId="77777777" w:rsidR="004409BE" w:rsidRDefault="004409BE">
      <w:r>
        <w:t>• The animal was then slaughtered, and its blood was applied to the horns of the altar. The blood served as a detergent, wiping away the defilement that threatened to drive the holy presence of Yahweh out from the midst of Israel.</w:t>
      </w:r>
    </w:p>
    <w:p w14:paraId="3048E880" w14:textId="77777777" w:rsidR="004409BE" w:rsidRDefault="004409BE">
      <w:r>
        <w:t>• The processing of the carcass also painted a stark picture. For the high priest's chattath, the fat was burned on the altar, but the flesh, skin, and offal were taken "outside the camp" to be utterly consumed by fire. This signified the complete removal of sin's defilement from the community.</w:t>
      </w:r>
    </w:p>
    <w:p w14:paraId="0A4238FD" w14:textId="77777777" w:rsidR="004409BE" w:rsidRDefault="004409BE"/>
    <w:p w14:paraId="3B4A8FCF" w14:textId="77777777" w:rsidR="004409BE" w:rsidRPr="004409BE" w:rsidRDefault="004409BE">
      <w:pPr>
        <w:rPr>
          <w:b/>
        </w:rPr>
      </w:pPr>
      <w:r w:rsidRPr="004409BE">
        <w:rPr>
          <w:b/>
        </w:rPr>
        <w:t xml:space="preserve"> 4. Theological Implications</w:t>
      </w:r>
    </w:p>
    <w:p w14:paraId="00E90060" w14:textId="77777777" w:rsidR="004409BE" w:rsidRDefault="004409BE">
      <w:r>
        <w:t>The chattath reveals critical truths about God's holiness and human redemption:</w:t>
      </w:r>
    </w:p>
    <w:p w14:paraId="325A8C92" w14:textId="77777777" w:rsidR="004409BE" w:rsidRDefault="004409BE">
      <w:r>
        <w:t>• The Pervasiveness of Sin: Sin is not merely an abstract concept; it is an active force that contaminates everything it touches, including God's sacred space.</w:t>
      </w:r>
    </w:p>
    <w:p w14:paraId="2946D6F5" w14:textId="77777777" w:rsidR="004409BE" w:rsidRDefault="004409BE">
      <w:r>
        <w:t>• The Necessity of Substitution: God's justice requires that sin be dealt with. Through the chattath, God mercifully provides a substitute. The innocent animal dies in the place of the guilty party.</w:t>
      </w:r>
    </w:p>
    <w:p w14:paraId="50182465" w14:textId="77777777" w:rsidR="004409BE" w:rsidRDefault="004409BE">
      <w:r>
        <w:t>• The Christological Connection: This Old Testament pattern serves as the foundation for the New Testament doctrine of substitutionary atonement. When Paul writes that God "made Him who knew no sin to be sin for us" (2 Corinthians 5:21), he is drawing directly on the double meaning of chattath. Jesus did not become a sinner; rather, He became our chattath—our sin offering.</w:t>
      </w:r>
    </w:p>
    <w:p w14:paraId="2C58ED4C" w14:textId="77777777" w:rsidR="004409BE" w:rsidRDefault="004409BE"/>
    <w:p w14:paraId="66EF0F94" w14:textId="77777777" w:rsidR="004409BE" w:rsidRPr="004409BE" w:rsidRDefault="004409BE">
      <w:pPr>
        <w:rPr>
          <w:b/>
        </w:rPr>
      </w:pPr>
      <w:r w:rsidRPr="004409BE">
        <w:rPr>
          <w:b/>
        </w:rPr>
        <w:t xml:space="preserve"> 5. Contextual Nuance in the Passage</w:t>
      </w:r>
    </w:p>
    <w:p w14:paraId="2B14D954" w14:textId="77777777" w:rsidR="004409BE" w:rsidRDefault="004409BE">
      <w:r>
        <w:t xml:space="preserve">In Exodus 29:14, the chattath is introduced during the ordination of Aaron and his sons. </w:t>
      </w:r>
    </w:p>
    <w:p w14:paraId="005CE14F" w14:textId="77777777" w:rsidR="004409BE" w:rsidRDefault="004409BE">
      <w:r>
        <w:t>• Before the priests can clothe themselves in glorious garments, burn sweet incense, or represent the nation before God, they must address their own sin. They cannot serve a holy God while stained by guilt.</w:t>
      </w:r>
    </w:p>
    <w:p w14:paraId="4AA9F68A" w14:textId="77777777" w:rsidR="004409BE" w:rsidRDefault="004409BE">
      <w:r>
        <w:t>• The specific detail in verse 14—that the flesh, skin, and offal of the bull must be burned outside the camp—carries immense weight. Because this bull was offered for the high priest himself, its meat could not be eaten by the priests (as was typical for laypeople's offerings). The sin of the spiritual leader was so heavy that the entire physical remnant of the sacrifice had to be cast out and incinerated away from the camp.</w:t>
      </w:r>
    </w:p>
    <w:p w14:paraId="2D23068D" w14:textId="77777777" w:rsidR="004409BE" w:rsidRDefault="004409BE">
      <w:r>
        <w:t>• The author of Hebrews directly links this detail to Jesus, noting that "the bodies of those animals, whose blood is brought into the sanctuary by the high priest for sin, are burned outside the camp. Therefore Jesus also, that He might sanctify the people with His own blood, suffered outside the gate" (Hebrews 13:11-12).</w:t>
      </w:r>
    </w:p>
    <w:p w14:paraId="46FBE378" w14:textId="77777777" w:rsidR="004409BE" w:rsidRDefault="004409BE"/>
    <w:p w14:paraId="17149DF7" w14:textId="77777777" w:rsidR="004409BE" w:rsidRPr="004409BE" w:rsidRDefault="004409BE">
      <w:pPr>
        <w:rPr>
          <w:b/>
        </w:rPr>
      </w:pPr>
      <w:r w:rsidRPr="004409BE">
        <w:rPr>
          <w:b/>
        </w:rPr>
        <w:t xml:space="preserve"> 6. Key Uses in Other Verses (NKJV)</w:t>
      </w:r>
    </w:p>
    <w:p w14:paraId="5ACA9BDE" w14:textId="77777777" w:rsidR="004409BE" w:rsidRDefault="004409BE">
      <w:r>
        <w:t>• Genesis 4:7 - "If you do not do well, sin lies at the door." (First biblical occurrence, representing sin personified as a crouching beast).</w:t>
      </w:r>
    </w:p>
    <w:p w14:paraId="56E09E67" w14:textId="77777777" w:rsidR="004409BE" w:rsidRDefault="004409BE">
      <w:r>
        <w:t>• Leviticus 4:3 - "...let him offer to the LORD for his sin which he has sinned a young bull without blemish as a sin offering." (A verse showcasing both definitions of the same word in a single sentence).</w:t>
      </w:r>
    </w:p>
    <w:p w14:paraId="0DFA4B89" w14:textId="77777777" w:rsidR="004409BE" w:rsidRDefault="004409BE">
      <w:r>
        <w:t>• Leviticus 16:9 - "And Aaron shall bring the goat on which the LORD's lot fell, and offer it as a sin offering." (The crucial chattath of the Day of Atonement).</w:t>
      </w:r>
    </w:p>
    <w:p w14:paraId="1A3C6BDE" w14:textId="77777777" w:rsidR="004409BE" w:rsidRDefault="004409BE">
      <w:r>
        <w:t>• Numbers 19:9 - "...it shall be kept for the congregation of the children of Israel for the water of purification; it is for purifying from sin." (An illustration of the cleansing/purifying nuance of the word).</w:t>
      </w:r>
    </w:p>
    <w:p w14:paraId="56DB7A1B" w14:textId="77777777" w:rsidR="004409BE" w:rsidRDefault="004409BE"/>
    <w:p w14:paraId="36800C63" w14:textId="77777777" w:rsidR="004409BE" w:rsidRPr="004409BE" w:rsidRDefault="004409BE">
      <w:pPr>
        <w:rPr>
          <w:b/>
        </w:rPr>
      </w:pPr>
      <w:r w:rsidRPr="004409BE">
        <w:rPr>
          <w:b/>
        </w:rPr>
        <w:t xml:space="preserve"> 7. Other Relevant Insights</w:t>
      </w:r>
    </w:p>
    <w:p w14:paraId="06B33E1C" w14:textId="77777777" w:rsidR="004409BE" w:rsidRDefault="004409BE">
      <w:r>
        <w:t>A lexical connection exists between the chattath and the purification of inanimate objects. In the Old Testament, the altar itself had to be purified with the blood of the chattath (Exodus 29:36). This highlights that in Hebrew thought, sin has a physical-like residue. It pollutes the land and the sanctuary, making them unfit for God's presence. The chattath was not merely about modifying the inner psychological state of the worshiper; it was an objective, covenantal cleansing of the entire environment where God and man met.</w:t>
      </w:r>
    </w:p>
    <w:p w14:paraId="4E9730A5" w14:textId="77777777" w:rsidR="004409BE" w:rsidRDefault="004409BE"/>
    <w:p w14:paraId="2F8B5889" w14:textId="77777777" w:rsidR="004409BE" w:rsidRPr="004409BE" w:rsidRDefault="004409BE">
      <w:pPr>
        <w:rPr>
          <w:b/>
        </w:rPr>
      </w:pPr>
      <w:r w:rsidRPr="004409BE">
        <w:rPr>
          <w:b/>
        </w:rPr>
        <w:t xml:space="preserve"> 8. References</w:t>
      </w:r>
    </w:p>
    <w:p w14:paraId="4538DC4B" w14:textId="77777777" w:rsidR="004409BE" w:rsidRDefault="004409BE">
      <w:r>
        <w:t>• Brown, F., Driver, S.R., and Briggs, C.A. Hebrew and English Lexicon of the Old Testament (BDB).</w:t>
      </w:r>
    </w:p>
    <w:p w14:paraId="4D32F148" w14:textId="77777777" w:rsidR="004409BE" w:rsidRDefault="004409BE">
      <w:r>
        <w:t>• Harris, R.L., Archer, G.L., and Waltke, B.K. Theological Wordbook of the Old Testament (TWOT).</w:t>
      </w:r>
    </w:p>
    <w:p w14:paraId="7AE4FAEB" w14:textId="77777777" w:rsidR="004409BE" w:rsidRDefault="004409BE">
      <w:r>
        <w:t>• Koehler, L., Baumgartner, W., and Stamm, J.J. The Hebrew and Aramaic Lexicon of the Old Testament (HALOT).</w:t>
      </w:r>
    </w:p>
    <w:p w14:paraId="2E4A1FBA" w14:textId="77777777" w:rsidR="004409BE" w:rsidRDefault="004409BE">
      <w:r>
        <w:t>• VanGemeren, W.A. New International Dictionary of Old Testament Theology and Exegesis (NIDOTTE).</w:t>
      </w:r>
    </w:p>
    <w:p w14:paraId="0229E96D" w14:textId="6CAFEE2C" w:rsidR="004C5552" w:rsidRDefault="004409B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09BE"/>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FA58"/>
  <w15:chartTrackingRefBased/>
  <w15:docId w15:val="{747B11A9-C89B-4772-94CF-D676585B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0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9BE"/>
    <w:rPr>
      <w:rFonts w:eastAsiaTheme="majorEastAsia" w:cstheme="majorBidi"/>
      <w:color w:val="272727" w:themeColor="text1" w:themeTint="D8"/>
    </w:rPr>
  </w:style>
  <w:style w:type="paragraph" w:styleId="Title">
    <w:name w:val="Title"/>
    <w:basedOn w:val="Normal"/>
    <w:next w:val="Normal"/>
    <w:link w:val="TitleChar"/>
    <w:uiPriority w:val="10"/>
    <w:qFormat/>
    <w:rsid w:val="00440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9BE"/>
    <w:pPr>
      <w:spacing w:before="160"/>
      <w:jc w:val="center"/>
    </w:pPr>
    <w:rPr>
      <w:i/>
      <w:iCs/>
      <w:color w:val="404040" w:themeColor="text1" w:themeTint="BF"/>
    </w:rPr>
  </w:style>
  <w:style w:type="character" w:customStyle="1" w:styleId="QuoteChar">
    <w:name w:val="Quote Char"/>
    <w:basedOn w:val="DefaultParagraphFont"/>
    <w:link w:val="Quote"/>
    <w:uiPriority w:val="29"/>
    <w:rsid w:val="004409BE"/>
    <w:rPr>
      <w:i/>
      <w:iCs/>
      <w:color w:val="404040" w:themeColor="text1" w:themeTint="BF"/>
    </w:rPr>
  </w:style>
  <w:style w:type="paragraph" w:styleId="ListParagraph">
    <w:name w:val="List Paragraph"/>
    <w:basedOn w:val="Normal"/>
    <w:uiPriority w:val="34"/>
    <w:qFormat/>
    <w:rsid w:val="004409BE"/>
    <w:pPr>
      <w:ind w:left="720"/>
      <w:contextualSpacing/>
    </w:pPr>
  </w:style>
  <w:style w:type="character" w:styleId="IntenseEmphasis">
    <w:name w:val="Intense Emphasis"/>
    <w:basedOn w:val="DefaultParagraphFont"/>
    <w:uiPriority w:val="21"/>
    <w:qFormat/>
    <w:rsid w:val="004409BE"/>
    <w:rPr>
      <w:i/>
      <w:iCs/>
      <w:color w:val="2E74B5" w:themeColor="accent1" w:themeShade="BF"/>
    </w:rPr>
  </w:style>
  <w:style w:type="paragraph" w:styleId="IntenseQuote">
    <w:name w:val="Intense Quote"/>
    <w:basedOn w:val="Normal"/>
    <w:next w:val="Normal"/>
    <w:link w:val="IntenseQuoteChar"/>
    <w:uiPriority w:val="30"/>
    <w:qFormat/>
    <w:rsid w:val="004409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09BE"/>
    <w:rPr>
      <w:i/>
      <w:iCs/>
      <w:color w:val="2E74B5" w:themeColor="accent1" w:themeShade="BF"/>
    </w:rPr>
  </w:style>
  <w:style w:type="character" w:styleId="IntenseReference">
    <w:name w:val="Intense Reference"/>
    <w:basedOn w:val="DefaultParagraphFont"/>
    <w:uiPriority w:val="32"/>
    <w:qFormat/>
    <w:rsid w:val="004409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1041</Words>
  <Characters>5936</Characters>
  <Application>Microsoft Office Word</Application>
  <DocSecurity>0</DocSecurity>
  <Lines>49</Lines>
  <Paragraphs>13</Paragraphs>
  <ScaleCrop>false</ScaleCrop>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