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5BE91" w14:textId="77777777" w:rsidR="007C7E51" w:rsidRPr="007C7E51" w:rsidRDefault="007C7E51">
      <w:pPr>
        <w:rPr>
          <w:b/>
        </w:rPr>
      </w:pPr>
      <w:r w:rsidRPr="007C7E51">
        <w:rPr>
          <w:b/>
        </w:rPr>
        <w:t>WAVE OFFERING - ( tenuphah , Strong's H8573 )</w:t>
      </w:r>
    </w:p>
    <w:p w14:paraId="723D03DD" w14:textId="77777777" w:rsidR="007C7E51" w:rsidRDefault="007C7E51">
      <w:r w:rsidRPr="007C7E51">
        <w:rPr>
          <w:b/>
        </w:rPr>
        <w:t>Summary:</w:t>
      </w:r>
    </w:p>
    <w:p w14:paraId="7D76097B" w14:textId="77777777" w:rsidR="007C7E51" w:rsidRDefault="007C7E51">
      <w:r>
        <w:t>The Hebrew noun tenuphah refers to a specific class of offering that is "waved" or presented before the Lord in a ritual movement. Derived from the verb nuph (meaning to move to and fro, swing, or wave), a tenuphah is a presentation offering. In the context of the consecration of the priests (Exodus 29:24), certain portions of the sacrificial victims and bread are placed in the hands of Aaron and his sons, and then symbolically waved or moved before Yahweh to represent its presentation to God and His subsequent return of a portion to the priests for their sustenance. It symbolizes the reciprocal relationship of devotion, dedication, and divine provision.</w:t>
      </w:r>
    </w:p>
    <w:p w14:paraId="7DF7D4EE" w14:textId="77777777" w:rsidR="007C7E51" w:rsidRDefault="007C7E51"/>
    <w:p w14:paraId="41DB8E0D" w14:textId="77777777" w:rsidR="007C7E51" w:rsidRDefault="007C7E51">
      <w:r w:rsidRPr="007C7E51">
        <w:rPr>
          <w:b/>
        </w:rPr>
        <w:t>Full Study:</w:t>
      </w:r>
    </w:p>
    <w:p w14:paraId="61C39751" w14:textId="77777777" w:rsidR="007C7E51" w:rsidRDefault="007C7E51"/>
    <w:p w14:paraId="7F51A5FF" w14:textId="77777777" w:rsidR="007C7E51" w:rsidRPr="007C7E51" w:rsidRDefault="007C7E51">
      <w:pPr>
        <w:rPr>
          <w:b/>
        </w:rPr>
      </w:pPr>
      <w:r w:rsidRPr="007C7E51">
        <w:rPr>
          <w:b/>
        </w:rPr>
        <w:t>1. Word Picture / Background</w:t>
      </w:r>
    </w:p>
    <w:p w14:paraId="70B94F9B" w14:textId="77777777" w:rsidR="007C7E51" w:rsidRDefault="007C7E51">
      <w:r>
        <w:t>The noun tenuphah comes from the root verb nuph, which means to move to and fro, brandish, wave, or swing. The physical action of waving or swinging is the core visual image. Historically, this gesture was a ritual movement rather than a literal shaking. It involved taking the offering and moving it toward the altar (representing giving it to God) and then back toward the priest (representing receiving it back from God as His provision), or moving it horizontally in the directions of the compass to acknowledge Yahweh's universal sovereignty over the earth. It is a visual, kinetic declaration of ownership, dedication, and reciprocal fellowship.</w:t>
      </w:r>
    </w:p>
    <w:p w14:paraId="17F160C6" w14:textId="77777777" w:rsidR="007C7E51" w:rsidRDefault="007C7E51"/>
    <w:p w14:paraId="64D12103" w14:textId="77777777" w:rsidR="007C7E51" w:rsidRPr="007C7E51" w:rsidRDefault="007C7E51">
      <w:pPr>
        <w:rPr>
          <w:b/>
        </w:rPr>
      </w:pPr>
      <w:r w:rsidRPr="007C7E51">
        <w:rPr>
          <w:b/>
        </w:rPr>
        <w:t>2. Meaning / Lexical Definition</w:t>
      </w:r>
    </w:p>
    <w:p w14:paraId="4C22548A" w14:textId="77777777" w:rsidR="007C7E51" w:rsidRDefault="007C7E51">
      <w:r>
        <w:t>• Tenuphah designates a wave offering, elevation offering, or presentation offering. It refers to:</w:t>
      </w:r>
    </w:p>
    <w:p w14:paraId="3DDA84AD" w14:textId="77777777" w:rsidR="007C7E51" w:rsidRDefault="007C7E51">
      <w:r>
        <w:t>• A ritual offering that is swung or waved before the Lord.</w:t>
      </w:r>
    </w:p>
    <w:p w14:paraId="1BB1EC13" w14:textId="77777777" w:rsidR="007C7E51" w:rsidRDefault="007C7E51">
      <w:r>
        <w:t>• A gift or contribution dedicated to God's service, such as the metal or gold dedicated for the tabernacle construction (Exodus 38:24).</w:t>
      </w:r>
    </w:p>
    <w:p w14:paraId="40F51DD7" w14:textId="77777777" w:rsidR="007C7E51" w:rsidRDefault="007C7E51">
      <w:r>
        <w:t>• The portion of a sacrifice specifically designated for the priests' use after being symbolically presented to God.</w:t>
      </w:r>
    </w:p>
    <w:p w14:paraId="44690DCB" w14:textId="77777777" w:rsidR="007C7E51" w:rsidRDefault="007C7E51"/>
    <w:p w14:paraId="5F024898" w14:textId="77777777" w:rsidR="007C7E51" w:rsidRDefault="007C7E51">
      <w:r>
        <w:t>Rather than being consumed by fire on the altar, the tenuphah is typically consecrated to Yahweh and then given to the priests for their sustenance, marking it as holy.</w:t>
      </w:r>
    </w:p>
    <w:p w14:paraId="41129389" w14:textId="77777777" w:rsidR="007C7E51" w:rsidRDefault="007C7E51"/>
    <w:p w14:paraId="22B2241C" w14:textId="77777777" w:rsidR="007C7E51" w:rsidRPr="007C7E51" w:rsidRDefault="007C7E51">
      <w:pPr>
        <w:rPr>
          <w:b/>
        </w:rPr>
      </w:pPr>
      <w:r w:rsidRPr="007C7E51">
        <w:rPr>
          <w:b/>
        </w:rPr>
        <w:t>3. Usage and Word Pictures</w:t>
      </w:r>
    </w:p>
    <w:p w14:paraId="11F558C1" w14:textId="77777777" w:rsidR="007C7E51" w:rsidRDefault="007C7E51">
      <w:r>
        <w:t>In the Old Testament, tenuphah is used almost exclusively in priestly and ritual contexts. The physical action associated with it is rich in imagery:</w:t>
      </w:r>
    </w:p>
    <w:p w14:paraId="5FBD73CF" w14:textId="77777777" w:rsidR="007C7E51" w:rsidRDefault="007C7E51">
      <w:r>
        <w:t>• The back-and-forth motion pictures a transfer of ownership: the worshiper gives the item to God, and God hands it back to the priest as his portion.</w:t>
      </w:r>
    </w:p>
    <w:p w14:paraId="17562F92" w14:textId="77777777" w:rsidR="007C7E51" w:rsidRDefault="007C7E51">
      <w:r>
        <w:t>• It distinguishes these portions from the olah (burnt offering), which is completely consumed by fire, and the terumah (contribution/heave offering), which is often associated with a vertical lifting motion.</w:t>
      </w:r>
    </w:p>
    <w:p w14:paraId="3DCA7D08" w14:textId="77777777" w:rsidR="007C7E51" w:rsidRDefault="007C7E51">
      <w:r>
        <w:t>• The waving action serves as an open, public demonstration of dedication. It is performed "before the LORD" at the entrance of the Tabernacle, serving as a testimony to the entire congregation of the devotion of the offerer and the legitimacy of the priest's portion.</w:t>
      </w:r>
    </w:p>
    <w:p w14:paraId="4AE0AB98" w14:textId="77777777" w:rsidR="007C7E51" w:rsidRDefault="007C7E51"/>
    <w:p w14:paraId="7C586A77" w14:textId="77777777" w:rsidR="007C7E51" w:rsidRPr="007C7E51" w:rsidRDefault="007C7E51">
      <w:pPr>
        <w:rPr>
          <w:b/>
        </w:rPr>
      </w:pPr>
      <w:r w:rsidRPr="007C7E51">
        <w:rPr>
          <w:b/>
        </w:rPr>
        <w:t>4. Theological Implications</w:t>
      </w:r>
    </w:p>
    <w:p w14:paraId="06DB4C3B" w14:textId="77777777" w:rsidR="007C7E51" w:rsidRDefault="007C7E51">
      <w:r>
        <w:t>The tenuphah carries profound theological weight regarding God's ownership and provision:</w:t>
      </w:r>
    </w:p>
    <w:p w14:paraId="26912BA4" w14:textId="77777777" w:rsidR="007C7E51" w:rsidRDefault="007C7E51">
      <w:r>
        <w:t>• Divine Ownership: Everything belongs to Yahweh. By waving the offering before Him, the offerer acknowledges God’s supreme ownership of the harvest, the flock, and their very lives.</w:t>
      </w:r>
    </w:p>
    <w:p w14:paraId="2B4D36FA" w14:textId="77777777" w:rsidR="007C7E51" w:rsidRDefault="007C7E51">
      <w:r>
        <w:t>• Priestly Sustenance: God provides for those who serve Him. The wave offering becomes the holy food of the Levitical priesthood. God receives the gift and then graciously feeds His ministers from His own table.</w:t>
      </w:r>
    </w:p>
    <w:p w14:paraId="3B0D6622" w14:textId="77777777" w:rsidR="007C7E51" w:rsidRDefault="007C7E51">
      <w:r>
        <w:t>• Consecration: The ritual sets apart both the gift and the giver. In the ordination of the priests, the waving of the offering in their hands signifies their total dedication to the service of the sanctuary.</w:t>
      </w:r>
    </w:p>
    <w:p w14:paraId="74F69960" w14:textId="77777777" w:rsidR="007C7E51" w:rsidRDefault="007C7E51"/>
    <w:p w14:paraId="101A730F" w14:textId="77777777" w:rsidR="007C7E51" w:rsidRPr="007C7E51" w:rsidRDefault="007C7E51">
      <w:pPr>
        <w:rPr>
          <w:b/>
        </w:rPr>
      </w:pPr>
      <w:r w:rsidRPr="007C7E51">
        <w:rPr>
          <w:b/>
        </w:rPr>
        <w:t>5. Contextual Nuance in the Passage</w:t>
      </w:r>
    </w:p>
    <w:p w14:paraId="71DCE99E" w14:textId="77777777" w:rsidR="007C7E51" w:rsidRDefault="007C7E51">
      <w:r>
        <w:t>In Exodus 29:24, the tenuphah occurs during the ordination (milluim, "fillings") of Aaron and his sons. Moses places the fat, the right thigh, and three types of bread into the hands of Aaron and his sons, and waves them as a tenuphah before Yahweh.</w:t>
      </w:r>
    </w:p>
    <w:p w14:paraId="3F68C696" w14:textId="77777777" w:rsidR="007C7E51" w:rsidRDefault="007C7E51">
      <w:r>
        <w:t>• This is a "filling of the hands"—the literal meaning of ordination. By having their hands filled with the sacrificial portions and waving them, the priests are formally inaugurated into their office.</w:t>
      </w:r>
    </w:p>
    <w:p w14:paraId="50FAC2AB" w14:textId="77777777" w:rsidR="007C7E51" w:rsidRDefault="007C7E51">
      <w:r>
        <w:t>• Because this is their ordination sacrifice, the right thigh (which normally goes to the officiating priest) is burned on the altar along with the fat, while the breast of the ram of consecration is waved and given to Moses as his portion (Exodus 29:26). This reflects the transition of priestly authority and the unique role Moses plays as the mediator of the covenant.</w:t>
      </w:r>
    </w:p>
    <w:p w14:paraId="258DEFE4" w14:textId="77777777" w:rsidR="007C7E51" w:rsidRDefault="007C7E51"/>
    <w:p w14:paraId="08AE9B3A" w14:textId="77777777" w:rsidR="007C7E51" w:rsidRPr="007C7E51" w:rsidRDefault="007C7E51">
      <w:pPr>
        <w:rPr>
          <w:b/>
        </w:rPr>
      </w:pPr>
      <w:r w:rsidRPr="007C7E51">
        <w:rPr>
          <w:b/>
        </w:rPr>
        <w:t>6. Key Uses in Other Verses (NKJV)</w:t>
      </w:r>
    </w:p>
    <w:p w14:paraId="55D428D5" w14:textId="77777777" w:rsidR="007C7E51" w:rsidRDefault="007C7E51">
      <w:r>
        <w:t>• Exodus 29:26: "Then you shall take the breast of the ram of Aaron’s consecration and wave it as a wave offering before the LORD; and it shall be your portion."</w:t>
      </w:r>
    </w:p>
    <w:p w14:paraId="7F58907E" w14:textId="77777777" w:rsidR="007C7E51" w:rsidRDefault="007C7E51">
      <w:r>
        <w:t>• Leviticus 7:30: "His own hands shall bring the offerings made by fire to the LORD. He shall bring the fat with the breast, that the breast may be waved as a wave offering before the LORD."</w:t>
      </w:r>
    </w:p>
    <w:p w14:paraId="654D4C5E" w14:textId="77777777" w:rsidR="007C7E51" w:rsidRDefault="007C7E51">
      <w:r>
        <w:t>• Leviticus 23:17: "You shall bring from your dwellings two wave loaves of two-tenths of an ephah..."</w:t>
      </w:r>
    </w:p>
    <w:p w14:paraId="46B4875E" w14:textId="77777777" w:rsidR="007C7E51" w:rsidRDefault="007C7E51">
      <w:r>
        <w:t>• Numbers 8:11: "and Aaron shall offer the Levites before the LORD as a wave offering from the children of Israel, that they may distinguish themselves in doing the service of the LORD."</w:t>
      </w:r>
    </w:p>
    <w:p w14:paraId="7A73AFD5" w14:textId="77777777" w:rsidR="007C7E51" w:rsidRDefault="007C7E51"/>
    <w:p w14:paraId="0CCA60FE" w14:textId="77777777" w:rsidR="007C7E51" w:rsidRPr="007C7E51" w:rsidRDefault="007C7E51">
      <w:pPr>
        <w:rPr>
          <w:b/>
        </w:rPr>
      </w:pPr>
      <w:r w:rsidRPr="007C7E51">
        <w:rPr>
          <w:b/>
        </w:rPr>
        <w:t>7. Other Relevant Insights</w:t>
      </w:r>
    </w:p>
    <w:p w14:paraId="3598CDF2" w14:textId="77777777" w:rsidR="007C7E51" w:rsidRDefault="007C7E51">
      <w:r>
        <w:t>A fascinating expansion of the tenuphah concept occurs in Numbers 8, where the Levites themselves are presented as a "wave offering" (tenuphah). They were not physically swung back and forth; instead, they were led back and forth before the altar, symbolizing that they were totally dedicated to the Lord's service as a living sacrifice on behalf of the nation. This provides a beautiful Old Testament parallel to the New Testament call for believers to present their bodies as a "living sacrifice" (Romans 12:1).</w:t>
      </w:r>
    </w:p>
    <w:p w14:paraId="1C9307F2" w14:textId="77777777" w:rsidR="007C7E51" w:rsidRDefault="007C7E51"/>
    <w:p w14:paraId="75A9824F" w14:textId="77777777" w:rsidR="007C7E51" w:rsidRPr="007C7E51" w:rsidRDefault="007C7E51">
      <w:pPr>
        <w:rPr>
          <w:b/>
        </w:rPr>
      </w:pPr>
      <w:r w:rsidRPr="007C7E51">
        <w:rPr>
          <w:b/>
        </w:rPr>
        <w:t>8. References</w:t>
      </w:r>
    </w:p>
    <w:p w14:paraId="23CBB08D" w14:textId="77777777" w:rsidR="007C7E51" w:rsidRDefault="007C7E51">
      <w:r>
        <w:t>• Brown, F., Driver, S. R., &amp; Briggs, C. A. (1907). Enhanced Brown-Driver-Briggs Hebrew and English Lexicon.</w:t>
      </w:r>
    </w:p>
    <w:p w14:paraId="4C3C1C5C" w14:textId="77777777" w:rsidR="007C7E51" w:rsidRDefault="007C7E51">
      <w:r>
        <w:t>• Harris, R. L., Archer, G. L., &amp; Waltke, B. K. (1980). Theological Wordbook of the Old Testament.</w:t>
      </w:r>
    </w:p>
    <w:p w14:paraId="302B1594" w14:textId="77777777" w:rsidR="007C7E51" w:rsidRDefault="007C7E51">
      <w:r>
        <w:t>• Koehler, L., Baumgartner, W., Richardson, M. E. J., &amp; Stamm, J. J. (1994–2000). The Hebrew and Aramaic Lexicon of the Old Testament.</w:t>
      </w:r>
    </w:p>
    <w:p w14:paraId="3F8660F3" w14:textId="7FE78ADB" w:rsidR="004C5552" w:rsidRDefault="007C7E51">
      <w:r>
        <w:t>• VanGemeren, W. A. (1997).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E5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C7E51"/>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4B22"/>
  <w15:chartTrackingRefBased/>
  <w15:docId w15:val="{D97C062B-468C-4106-94C7-A9BA0D674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7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7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E51"/>
    <w:rPr>
      <w:rFonts w:eastAsiaTheme="majorEastAsia" w:cstheme="majorBidi"/>
      <w:color w:val="272727" w:themeColor="text1" w:themeTint="D8"/>
    </w:rPr>
  </w:style>
  <w:style w:type="paragraph" w:styleId="Title">
    <w:name w:val="Title"/>
    <w:basedOn w:val="Normal"/>
    <w:next w:val="Normal"/>
    <w:link w:val="TitleChar"/>
    <w:uiPriority w:val="10"/>
    <w:qFormat/>
    <w:rsid w:val="007C7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E51"/>
    <w:pPr>
      <w:spacing w:before="160"/>
      <w:jc w:val="center"/>
    </w:pPr>
    <w:rPr>
      <w:i/>
      <w:iCs/>
      <w:color w:val="404040" w:themeColor="text1" w:themeTint="BF"/>
    </w:rPr>
  </w:style>
  <w:style w:type="character" w:customStyle="1" w:styleId="QuoteChar">
    <w:name w:val="Quote Char"/>
    <w:basedOn w:val="DefaultParagraphFont"/>
    <w:link w:val="Quote"/>
    <w:uiPriority w:val="29"/>
    <w:rsid w:val="007C7E51"/>
    <w:rPr>
      <w:i/>
      <w:iCs/>
      <w:color w:val="404040" w:themeColor="text1" w:themeTint="BF"/>
    </w:rPr>
  </w:style>
  <w:style w:type="paragraph" w:styleId="ListParagraph">
    <w:name w:val="List Paragraph"/>
    <w:basedOn w:val="Normal"/>
    <w:uiPriority w:val="34"/>
    <w:qFormat/>
    <w:rsid w:val="007C7E51"/>
    <w:pPr>
      <w:ind w:left="720"/>
      <w:contextualSpacing/>
    </w:pPr>
  </w:style>
  <w:style w:type="character" w:styleId="IntenseEmphasis">
    <w:name w:val="Intense Emphasis"/>
    <w:basedOn w:val="DefaultParagraphFont"/>
    <w:uiPriority w:val="21"/>
    <w:qFormat/>
    <w:rsid w:val="007C7E51"/>
    <w:rPr>
      <w:i/>
      <w:iCs/>
      <w:color w:val="2E74B5" w:themeColor="accent1" w:themeShade="BF"/>
    </w:rPr>
  </w:style>
  <w:style w:type="paragraph" w:styleId="IntenseQuote">
    <w:name w:val="Intense Quote"/>
    <w:basedOn w:val="Normal"/>
    <w:next w:val="Normal"/>
    <w:link w:val="IntenseQuoteChar"/>
    <w:uiPriority w:val="30"/>
    <w:qFormat/>
    <w:rsid w:val="007C7E5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7E51"/>
    <w:rPr>
      <w:i/>
      <w:iCs/>
      <w:color w:val="2E74B5" w:themeColor="accent1" w:themeShade="BF"/>
    </w:rPr>
  </w:style>
  <w:style w:type="character" w:styleId="IntenseReference">
    <w:name w:val="Intense Reference"/>
    <w:basedOn w:val="DefaultParagraphFont"/>
    <w:uiPriority w:val="32"/>
    <w:qFormat/>
    <w:rsid w:val="007C7E5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