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D006" w14:textId="77777777" w:rsidR="00CD506D" w:rsidRPr="00CD506D" w:rsidRDefault="00CD506D">
      <w:pPr>
        <w:rPr>
          <w:b/>
        </w:rPr>
      </w:pPr>
      <w:r w:rsidRPr="00CD506D">
        <w:rPr>
          <w:b/>
        </w:rPr>
        <w:t>BURN - ( saraph , Strong's H8313 )</w:t>
      </w:r>
    </w:p>
    <w:p w14:paraId="4673AED3" w14:textId="77777777" w:rsidR="00CD506D" w:rsidRDefault="00CD506D">
      <w:r w:rsidRPr="00CD506D">
        <w:rPr>
          <w:b/>
        </w:rPr>
        <w:t>Summary:</w:t>
      </w:r>
    </w:p>
    <w:p w14:paraId="220F6B96" w14:textId="77777777" w:rsidR="00CD506D" w:rsidRDefault="00CD506D">
      <w:r>
        <w:t>The Hebrew verb saraph means to completely burn, incinerate, or consume with fire. Unlike other terms for sacrificial burning that emphasize turning an offering into a sweet-smelling aroma for God, saraph denotes total consumption, reduction to ashes, and disposal. In Exodus 29:34, it describes the mandatory destruction of any leftover meat or bread from the consecration offering of the priests. Because this food was consecrated and holy, it could not be allowed to spoil, decay, or be treated as common waste. The act of burning the leftovers preserved the absolute holiness of the ritual, ensuring that what belonged to God was never desecrated by human neglect or natural decay.</w:t>
      </w:r>
    </w:p>
    <w:p w14:paraId="24AA58CD" w14:textId="77777777" w:rsidR="00CD506D" w:rsidRDefault="00CD506D"/>
    <w:p w14:paraId="256FBAD3" w14:textId="77777777" w:rsidR="00CD506D" w:rsidRDefault="00CD506D">
      <w:r w:rsidRPr="00CD506D">
        <w:rPr>
          <w:b/>
        </w:rPr>
        <w:t>Full Study:</w:t>
      </w:r>
    </w:p>
    <w:p w14:paraId="377EFF59" w14:textId="77777777" w:rsidR="00CD506D" w:rsidRDefault="00CD506D"/>
    <w:p w14:paraId="1053FE03" w14:textId="77777777" w:rsidR="00CD506D" w:rsidRPr="00CD506D" w:rsidRDefault="00CD506D">
      <w:pPr>
        <w:rPr>
          <w:b/>
        </w:rPr>
      </w:pPr>
      <w:r w:rsidRPr="00CD506D">
        <w:rPr>
          <w:b/>
        </w:rPr>
        <w:t>1. Word Picture / Background</w:t>
      </w:r>
    </w:p>
    <w:p w14:paraId="3CD71C61" w14:textId="77777777" w:rsidR="00CD506D" w:rsidRDefault="00CD506D">
      <w:r>
        <w:t xml:space="preserve">The root saraph carries the graphic imagery of intense, consuming heat. It is the action of a fire that does not merely warm or cook, but completely disintegrates its object, leaving only ashes. </w:t>
      </w:r>
    </w:p>
    <w:p w14:paraId="72D51DBF" w14:textId="77777777" w:rsidR="00CD506D" w:rsidRDefault="00CD506D">
      <w:r>
        <w:t>• There is a striking nominal cognate to this verb: the noun saraph (Strong's H8314), which refers to "fiery serpents" (Numbers 21:6) and the "seraphim," the burning heavenly beings who fly around the throne of God in Isaiah 6.</w:t>
      </w:r>
    </w:p>
    <w:p w14:paraId="3A83158F" w14:textId="77777777" w:rsidR="00CD506D" w:rsidRDefault="00CD506D">
      <w:r>
        <w:t>• While the verb in Exodus 29:34 is a practical instruction for disposal, the linguistic connection to these heavenly, fiery realities underscores the concept of holiness. Fire in the biblical world is the ultimate agent of purification, boundary-keeping, and consumption.</w:t>
      </w:r>
    </w:p>
    <w:p w14:paraId="6DDD92D7" w14:textId="77777777" w:rsidR="00CD506D" w:rsidRDefault="00CD506D"/>
    <w:p w14:paraId="7347A885" w14:textId="77777777" w:rsidR="00CD506D" w:rsidRPr="00CD506D" w:rsidRDefault="00CD506D">
      <w:pPr>
        <w:rPr>
          <w:b/>
        </w:rPr>
      </w:pPr>
      <w:r w:rsidRPr="00CD506D">
        <w:rPr>
          <w:b/>
        </w:rPr>
        <w:t>2. Meaning / Lexical Definition</w:t>
      </w:r>
    </w:p>
    <w:p w14:paraId="214CCC15" w14:textId="77777777" w:rsidR="00CD506D" w:rsidRDefault="00CD506D">
      <w:r>
        <w:t xml:space="preserve">The verb saraph means to burn, incinerate, or destroy with fire. </w:t>
      </w:r>
    </w:p>
    <w:p w14:paraId="5AF2E4CD" w14:textId="77777777" w:rsidR="00CD506D" w:rsidRDefault="00CD506D">
      <w:r>
        <w:t>• It is used throughout the Old Testament to describe the total destruction of objects, such as burning down conquered cities, destroying pagan idols, or executing capital punishment by fire.</w:t>
      </w:r>
    </w:p>
    <w:p w14:paraId="3F9E7D50" w14:textId="77777777" w:rsidR="00CD506D" w:rsidRDefault="00CD506D">
      <w:r>
        <w:t>• In the Levitical sacrificial system, saraph is specifically used for burning those parts of a sacrifice that are not offered on the altar—such as the hide and offal of the sin offering, which are carried outside the camp to be incinerated (Leviticus 4:12).</w:t>
      </w:r>
    </w:p>
    <w:p w14:paraId="4577E153" w14:textId="77777777" w:rsidR="00CD506D" w:rsidRDefault="00CD506D">
      <w:r>
        <w:t>• It stands in sharp contrast to qatar (Strong's H6999), which means to burn an offering on the altar specifically to produce a sweet, soothing aroma (reach nichoach) to the Lord. Saraph is about total elimination and sanitation rather than sweet-smelling worship.</w:t>
      </w:r>
    </w:p>
    <w:p w14:paraId="203E46E5" w14:textId="77777777" w:rsidR="00CD506D" w:rsidRDefault="00CD506D"/>
    <w:p w14:paraId="12B119E6" w14:textId="77777777" w:rsidR="00CD506D" w:rsidRPr="00CD506D" w:rsidRDefault="00CD506D">
      <w:pPr>
        <w:rPr>
          <w:b/>
        </w:rPr>
      </w:pPr>
      <w:r w:rsidRPr="00CD506D">
        <w:rPr>
          <w:b/>
        </w:rPr>
        <w:t>3. Usage and Word Pictures</w:t>
      </w:r>
    </w:p>
    <w:p w14:paraId="0F5381BC" w14:textId="77777777" w:rsidR="00CD506D" w:rsidRDefault="00CD506D">
      <w:r>
        <w:t xml:space="preserve">The word picture behind saraph is one of absolute boundary-keeping. In the ancient Near East, fire was the only way to ensure that something was completely removed from the physical world. </w:t>
      </w:r>
    </w:p>
    <w:p w14:paraId="5D494F58" w14:textId="77777777" w:rsidR="00CD506D" w:rsidRDefault="00CD506D">
      <w:r>
        <w:t>• When Moses burned the golden calf (saraph in Exodus 32:20), the fire destroyed the idol's form, rendering it completely powerless and irreversible.</w:t>
      </w:r>
    </w:p>
    <w:p w14:paraId="302E2C43" w14:textId="77777777" w:rsidR="00CD506D" w:rsidRDefault="00CD506D">
      <w:r>
        <w:t>• When Joshua burned the city of Jericho (saraph in Joshua 6:24), the fire marked a total transition of ownership—the city was devoted to destruction and belonged solely to God.</w:t>
      </w:r>
    </w:p>
    <w:p w14:paraId="5D480F3C" w14:textId="77777777" w:rsidR="00CD506D" w:rsidRDefault="00CD506D">
      <w:r>
        <w:t>• In the sanctuary, saraph represents a boundary marker. Once the fire consumes the remaining holy food, that food is permanently removed from the reach of human mishandling. It cannot become moldy, it cannot be eaten by animals, and it cannot be eaten by unauthorized people.</w:t>
      </w:r>
    </w:p>
    <w:p w14:paraId="517A02D3" w14:textId="77777777" w:rsidR="00CD506D" w:rsidRDefault="00CD506D"/>
    <w:p w14:paraId="21CF55BF" w14:textId="77777777" w:rsidR="00CD506D" w:rsidRPr="00CD506D" w:rsidRDefault="00CD506D">
      <w:pPr>
        <w:rPr>
          <w:b/>
        </w:rPr>
      </w:pPr>
      <w:r w:rsidRPr="00CD506D">
        <w:rPr>
          <w:b/>
        </w:rPr>
        <w:t>4. Theological Implications</w:t>
      </w:r>
    </w:p>
    <w:p w14:paraId="23F5D650" w14:textId="77777777" w:rsidR="00CD506D" w:rsidRDefault="00CD506D">
      <w:r>
        <w:t>The command to burn the leftover consecration offering reveals profound truths about God's holiness and the nature of sacred space:</w:t>
      </w:r>
    </w:p>
    <w:p w14:paraId="6609C5F7" w14:textId="77777777" w:rsidR="00CD506D" w:rsidRDefault="00CD506D">
      <w:r>
        <w:t>• The Safeguard of Holiness: Holy things belong exclusively to God. Leftovers of peace or consecration offerings cannot be treated as common leftovers. By burning them, the priests returned the physical elements to God's realm, preventing them from being desecrated or treated as ordinary.</w:t>
      </w:r>
    </w:p>
    <w:p w14:paraId="704C5766" w14:textId="77777777" w:rsidR="00CD506D" w:rsidRDefault="00CD506D">
      <w:r>
        <w:t>• The Prevention of Corruption: In biblical theology, decay and corruption are associated with the fallen state of creation. By incinerating the bread and meat before morning, the offering was spared from the natural process of putrefaction. What was offered to the holy God remained undefiled.</w:t>
      </w:r>
    </w:p>
    <w:p w14:paraId="176D1497" w14:textId="77777777" w:rsidR="00CD506D" w:rsidRDefault="00CD506D">
      <w:r>
        <w:t>• A Lesson in Stewardship: Holy things demand immediate, careful attention. The priests could not procrastinate or leave the sanctuary untidy. The boundaries of the sacred are sharp, demanding diligent obedience.</w:t>
      </w:r>
    </w:p>
    <w:p w14:paraId="0EEC59C0" w14:textId="77777777" w:rsidR="00CD506D" w:rsidRDefault="00CD506D"/>
    <w:p w14:paraId="1F1928A0" w14:textId="77777777" w:rsidR="00CD506D" w:rsidRPr="00CD506D" w:rsidRDefault="00CD506D">
      <w:pPr>
        <w:rPr>
          <w:b/>
        </w:rPr>
      </w:pPr>
      <w:r w:rsidRPr="00CD506D">
        <w:rPr>
          <w:b/>
        </w:rPr>
        <w:t>5. Contextual Nuance in the Passage</w:t>
      </w:r>
    </w:p>
    <w:p w14:paraId="01E5C6C5" w14:textId="77777777" w:rsidR="00CD506D" w:rsidRDefault="00CD506D">
      <w:r>
        <w:t>Exodus 29 outlines the dramatic, seven-day consecration ceremony for Aaron and his sons. The "ram of consecration" was essentially a peace offering, a portion of which was cooked and eaten by the priests at the entrance of the Tabernacle. This communal meal signified their fellowship and covenant relationship with God.</w:t>
      </w:r>
    </w:p>
    <w:p w14:paraId="18914140" w14:textId="77777777" w:rsidR="00CD506D" w:rsidRDefault="00CD506D">
      <w:r>
        <w:t>• However, because the meat and bread had been set apart for this holy ordination, they could not carry over into the next day.</w:t>
      </w:r>
    </w:p>
    <w:p w14:paraId="141AD92D" w14:textId="77777777" w:rsidR="00CD506D" w:rsidRDefault="00CD506D">
      <w:r>
        <w:t>• If any of the food remained until morning, the instruction was absolute: "you shall burn the remainder with fire. It shall not be eaten, because it is holy" (Exodus 29:34).</w:t>
      </w:r>
    </w:p>
    <w:p w14:paraId="576170BD" w14:textId="77777777" w:rsidR="00CD506D" w:rsidRDefault="00CD506D">
      <w:r>
        <w:t>• The nuance of saraph here is protective rather than punitive. The fire was not an expression of divine anger, but a shield of divine honor. It was a physical wall built around the sacred, ensuring that the remnants of the meal that initiated Israel’s priesthood remained holy to the very end.</w:t>
      </w:r>
    </w:p>
    <w:p w14:paraId="32C215AC" w14:textId="77777777" w:rsidR="00CD506D" w:rsidRDefault="00CD506D"/>
    <w:p w14:paraId="7EBA0D61" w14:textId="77777777" w:rsidR="00CD506D" w:rsidRPr="00CD506D" w:rsidRDefault="00CD506D">
      <w:pPr>
        <w:rPr>
          <w:b/>
        </w:rPr>
      </w:pPr>
      <w:r w:rsidRPr="00CD506D">
        <w:rPr>
          <w:b/>
        </w:rPr>
        <w:t>6. Key Uses in Other Verses (NKJV)</w:t>
      </w:r>
    </w:p>
    <w:p w14:paraId="4A2C0B7E" w14:textId="77777777" w:rsidR="00CD506D" w:rsidRDefault="00CD506D">
      <w:r>
        <w:t>• Genesis 38:24 - "...and let her be burned."</w:t>
      </w:r>
    </w:p>
    <w:p w14:paraId="207FF1F4" w14:textId="77777777" w:rsidR="00CD506D" w:rsidRDefault="00CD506D">
      <w:r>
        <w:t>• Exodus 29:14 - "But the bull’s flesh, its hide, and its offal you shall burn with fire outside the camp..."</w:t>
      </w:r>
    </w:p>
    <w:p w14:paraId="1475FD51" w14:textId="77777777" w:rsidR="00CD506D" w:rsidRDefault="00CD506D">
      <w:r>
        <w:t>• Leviticus 4:12 - "...and burn it on wood with fire; where the ashes are poured out it shall be burned."</w:t>
      </w:r>
    </w:p>
    <w:p w14:paraId="6F64C8ED" w14:textId="77777777" w:rsidR="00CD506D" w:rsidRDefault="00CD506D">
      <w:r>
        <w:t>• Leviticus 8:32 - "What remains of the flesh and the bread you shall burn with fire."</w:t>
      </w:r>
    </w:p>
    <w:p w14:paraId="4298547C" w14:textId="77777777" w:rsidR="00CD506D" w:rsidRDefault="00CD506D">
      <w:r>
        <w:t>• Joshua 6:24 - "But they burned the city and all that was in it with fire."</w:t>
      </w:r>
    </w:p>
    <w:p w14:paraId="0B3863E4" w14:textId="77777777" w:rsidR="00CD506D" w:rsidRDefault="00CD506D"/>
    <w:p w14:paraId="3E083C27" w14:textId="77777777" w:rsidR="00CD506D" w:rsidRPr="00CD506D" w:rsidRDefault="00CD506D">
      <w:pPr>
        <w:rPr>
          <w:b/>
        </w:rPr>
      </w:pPr>
      <w:r w:rsidRPr="00CD506D">
        <w:rPr>
          <w:b/>
        </w:rPr>
        <w:t>7. Other Relevant Insights</w:t>
      </w:r>
    </w:p>
    <w:p w14:paraId="2F229042" w14:textId="77777777" w:rsidR="00CD506D" w:rsidRDefault="00CD506D">
      <w:r>
        <w:t xml:space="preserve">A helpful pastoral contrast can be made between saraph and the New Testament concept of Christ's body. In the Old Testament, the holy flesh of the sacrifice had to be burned to prevent it from seeing decay or corruption. In contrast, Acts 2:27 highlights the ultimate holiness of Jesus, the true Sacrifice, by quoting Psalm 16:10: "Nor will You allow Your Holy One to see corruption." </w:t>
      </w:r>
    </w:p>
    <w:p w14:paraId="4EC04DC3" w14:textId="77777777" w:rsidR="00CD506D" w:rsidRDefault="00CD506D">
      <w:r>
        <w:t>• While the Old Testament sacrificial remains had to be artificially preserved from decay by the consuming fire of saraph, Jesus' body was naturally preserved from decay by the power of His inherent holiness and the Holy Spirit in the resurrection.</w:t>
      </w:r>
    </w:p>
    <w:p w14:paraId="7C213F27" w14:textId="77777777" w:rsidR="00CD506D" w:rsidRDefault="00CD506D"/>
    <w:p w14:paraId="3CA45FA9" w14:textId="77777777" w:rsidR="00CD506D" w:rsidRPr="00CD506D" w:rsidRDefault="00CD506D">
      <w:pPr>
        <w:rPr>
          <w:b/>
        </w:rPr>
      </w:pPr>
      <w:r w:rsidRPr="00CD506D">
        <w:rPr>
          <w:b/>
        </w:rPr>
        <w:t>8. References</w:t>
      </w:r>
    </w:p>
    <w:p w14:paraId="795B3068" w14:textId="77777777" w:rsidR="00CD506D" w:rsidRDefault="00CD506D">
      <w:r>
        <w:t>• Brown-Driver-Briggs (BDB)</w:t>
      </w:r>
    </w:p>
    <w:p w14:paraId="1E14825D" w14:textId="77777777" w:rsidR="00CD506D" w:rsidRDefault="00CD506D">
      <w:r>
        <w:t>• Hebrew and Aramaic Lexicon of the Old Testament (HALOT)</w:t>
      </w:r>
    </w:p>
    <w:p w14:paraId="2829C397" w14:textId="77777777" w:rsidR="00CD506D" w:rsidRDefault="00CD506D">
      <w:r>
        <w:t>• Theological Wordbook of the Old Testament (TWOT)</w:t>
      </w:r>
    </w:p>
    <w:p w14:paraId="58012874" w14:textId="77777777" w:rsidR="00CD506D" w:rsidRDefault="00CD506D">
      <w:r>
        <w:t>• New International Dictionary of Old Testament Theology and Exegesis (NIDOTTE)</w:t>
      </w:r>
    </w:p>
    <w:p w14:paraId="2EFC6A0E" w14:textId="3F79E001" w:rsidR="004C5552" w:rsidRDefault="00CD506D">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06D"/>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CF2A"/>
  <w15:chartTrackingRefBased/>
  <w15:docId w15:val="{2B4483C9-2C7D-4F00-8CF2-ABB209ED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5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5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06D"/>
    <w:rPr>
      <w:rFonts w:eastAsiaTheme="majorEastAsia" w:cstheme="majorBidi"/>
      <w:color w:val="272727" w:themeColor="text1" w:themeTint="D8"/>
    </w:rPr>
  </w:style>
  <w:style w:type="paragraph" w:styleId="Title">
    <w:name w:val="Title"/>
    <w:basedOn w:val="Normal"/>
    <w:next w:val="Normal"/>
    <w:link w:val="TitleChar"/>
    <w:uiPriority w:val="10"/>
    <w:qFormat/>
    <w:rsid w:val="00CD5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6D"/>
    <w:pPr>
      <w:spacing w:before="160"/>
      <w:jc w:val="center"/>
    </w:pPr>
    <w:rPr>
      <w:i/>
      <w:iCs/>
      <w:color w:val="404040" w:themeColor="text1" w:themeTint="BF"/>
    </w:rPr>
  </w:style>
  <w:style w:type="character" w:customStyle="1" w:styleId="QuoteChar">
    <w:name w:val="Quote Char"/>
    <w:basedOn w:val="DefaultParagraphFont"/>
    <w:link w:val="Quote"/>
    <w:uiPriority w:val="29"/>
    <w:rsid w:val="00CD506D"/>
    <w:rPr>
      <w:i/>
      <w:iCs/>
      <w:color w:val="404040" w:themeColor="text1" w:themeTint="BF"/>
    </w:rPr>
  </w:style>
  <w:style w:type="paragraph" w:styleId="ListParagraph">
    <w:name w:val="List Paragraph"/>
    <w:basedOn w:val="Normal"/>
    <w:uiPriority w:val="34"/>
    <w:qFormat/>
    <w:rsid w:val="00CD506D"/>
    <w:pPr>
      <w:ind w:left="720"/>
      <w:contextualSpacing/>
    </w:pPr>
  </w:style>
  <w:style w:type="character" w:styleId="IntenseEmphasis">
    <w:name w:val="Intense Emphasis"/>
    <w:basedOn w:val="DefaultParagraphFont"/>
    <w:uiPriority w:val="21"/>
    <w:qFormat/>
    <w:rsid w:val="00CD506D"/>
    <w:rPr>
      <w:i/>
      <w:iCs/>
      <w:color w:val="2E74B5" w:themeColor="accent1" w:themeShade="BF"/>
    </w:rPr>
  </w:style>
  <w:style w:type="paragraph" w:styleId="IntenseQuote">
    <w:name w:val="Intense Quote"/>
    <w:basedOn w:val="Normal"/>
    <w:next w:val="Normal"/>
    <w:link w:val="IntenseQuoteChar"/>
    <w:uiPriority w:val="30"/>
    <w:qFormat/>
    <w:rsid w:val="00CD50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506D"/>
    <w:rPr>
      <w:i/>
      <w:iCs/>
      <w:color w:val="2E74B5" w:themeColor="accent1" w:themeShade="BF"/>
    </w:rPr>
  </w:style>
  <w:style w:type="character" w:styleId="IntenseReference">
    <w:name w:val="Intense Reference"/>
    <w:basedOn w:val="DefaultParagraphFont"/>
    <w:uiPriority w:val="32"/>
    <w:qFormat/>
    <w:rsid w:val="00CD50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