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ECB2" w14:textId="77777777" w:rsidR="00582B75" w:rsidRPr="00582B75" w:rsidRDefault="00582B75">
      <w:pPr>
        <w:rPr>
          <w:b/>
        </w:rPr>
      </w:pPr>
      <w:r w:rsidRPr="00582B75">
        <w:rPr>
          <w:b/>
        </w:rPr>
        <w:t>MEMORIAL - ( zikkarôn , Strong's H2146 )</w:t>
      </w:r>
    </w:p>
    <w:p w14:paraId="102ECAA1" w14:textId="77777777" w:rsidR="00582B75" w:rsidRDefault="00582B75">
      <w:r w:rsidRPr="00582B75">
        <w:rPr>
          <w:b/>
        </w:rPr>
        <w:t>Summary:</w:t>
      </w:r>
    </w:p>
    <w:p w14:paraId="1A8C67C5" w14:textId="77777777" w:rsidR="00582B75" w:rsidRDefault="00582B75">
      <w:r>
        <w:t>The Hebrew noun zikkarôn refers to a memorial, remembrance, or token designed to keep a person, event, or covenant active in the mind of the observer—whether that observer is humanity or God Himself. In Exodus 30:16, the silver atonement money collected from the census serves as a tangible zikkarôn before the Lord. It is not a passive monument but an active, visible reminder that the lives of the Israelites have been ransomed and that they belong to God, securing His ongoing favor and protection.</w:t>
      </w:r>
    </w:p>
    <w:p w14:paraId="163D1604" w14:textId="77777777" w:rsidR="00582B75" w:rsidRDefault="00582B75"/>
    <w:p w14:paraId="64D9F797" w14:textId="77777777" w:rsidR="00582B75" w:rsidRDefault="00582B75">
      <w:r w:rsidRPr="00582B75">
        <w:rPr>
          <w:b/>
        </w:rPr>
        <w:t>Full Study:</w:t>
      </w:r>
    </w:p>
    <w:p w14:paraId="2441FEAD" w14:textId="77777777" w:rsidR="00582B75" w:rsidRDefault="00582B75"/>
    <w:p w14:paraId="67CFFD75" w14:textId="77777777" w:rsidR="00582B75" w:rsidRPr="00582B75" w:rsidRDefault="00582B75">
      <w:pPr>
        <w:rPr>
          <w:b/>
        </w:rPr>
      </w:pPr>
      <w:r w:rsidRPr="00582B75">
        <w:rPr>
          <w:b/>
        </w:rPr>
        <w:t xml:space="preserve"> 1. Word Picture / Background</w:t>
      </w:r>
    </w:p>
    <w:p w14:paraId="30D0408F" w14:textId="77777777" w:rsidR="00582B75" w:rsidRDefault="00582B75">
      <w:r>
        <w:t>The word zikkarôn derives from the verbal root zākar (H2142), which means "to remember," "to recall," or "to mention." In ancient Semitic thought, remembering is not merely a cognitive or intellectual exercise; it is an active verb that results in corresponding action. To remember a covenant means to act in accordance with it. Consequently, a zikkarôn is a physical object, a ritual, or an annual feast established to trigger this active remembrance. It serves as a bridge between a past historical act of deliverance and the present moment, ensuring that the covenant relationship remains vital and active.</w:t>
      </w:r>
    </w:p>
    <w:p w14:paraId="60979A4B" w14:textId="77777777" w:rsidR="00582B75" w:rsidRDefault="00582B75"/>
    <w:p w14:paraId="33137EB6" w14:textId="77777777" w:rsidR="00582B75" w:rsidRPr="00582B75" w:rsidRDefault="00582B75">
      <w:pPr>
        <w:rPr>
          <w:b/>
        </w:rPr>
      </w:pPr>
      <w:r w:rsidRPr="00582B75">
        <w:rPr>
          <w:b/>
        </w:rPr>
        <w:t xml:space="preserve"> 2. Meaning / Lexical Definition</w:t>
      </w:r>
    </w:p>
    <w:p w14:paraId="0E24743E" w14:textId="77777777" w:rsidR="00582B75" w:rsidRDefault="00582B75">
      <w:r>
        <w:t>• Zikkarôn carries several specific lexical nuances depending on its context:</w:t>
      </w:r>
    </w:p>
    <w:p w14:paraId="47DE5634" w14:textId="77777777" w:rsidR="00582B75" w:rsidRDefault="00582B75">
      <w:r>
        <w:t>• A physical memorial or monument that keeps a memory alive.</w:t>
      </w:r>
    </w:p>
    <w:p w14:paraId="3FF5E742" w14:textId="77777777" w:rsidR="00582B75" w:rsidRDefault="00582B75">
      <w:r>
        <w:t>• A reminder or token of remembrance that brings a person or event to mind.</w:t>
      </w:r>
    </w:p>
    <w:p w14:paraId="715ED179" w14:textId="77777777" w:rsidR="00582B75" w:rsidRDefault="00582B75">
      <w:r>
        <w:t>• A record or written scroll of remembrance (as in Exodus 17:14).</w:t>
      </w:r>
    </w:p>
    <w:p w14:paraId="281C08BC" w14:textId="77777777" w:rsidR="00582B75" w:rsidRDefault="00582B75">
      <w:r>
        <w:t>• In liturgical contexts, a sign or offering that presents the worshiper before God, prompting Him to act graciously on their behalf.</w:t>
      </w:r>
    </w:p>
    <w:p w14:paraId="37FB5B10" w14:textId="77777777" w:rsidR="00582B75" w:rsidRDefault="00582B75"/>
    <w:p w14:paraId="1D87DA5F" w14:textId="77777777" w:rsidR="00582B75" w:rsidRPr="00582B75" w:rsidRDefault="00582B75">
      <w:pPr>
        <w:rPr>
          <w:b/>
        </w:rPr>
      </w:pPr>
      <w:r w:rsidRPr="00582B75">
        <w:rPr>
          <w:b/>
        </w:rPr>
        <w:t xml:space="preserve"> 3. Usage and Word Pictures</w:t>
      </w:r>
    </w:p>
    <w:p w14:paraId="14F21A02" w14:textId="77777777" w:rsidR="00582B75" w:rsidRDefault="00582B75">
      <w:r>
        <w:t>The Old Testament employs zikkarôn in several vivid contexts:</w:t>
      </w:r>
    </w:p>
    <w:p w14:paraId="3A3B0215" w14:textId="77777777" w:rsidR="00582B75" w:rsidRDefault="00582B75">
      <w:r>
        <w:t>• The Passover Feast (Exodus 12:14): The annual celebration is established as a "memorial" forever, transforming a historical event into an ongoing, lived reality for every generation.</w:t>
      </w:r>
    </w:p>
    <w:p w14:paraId="601548CD" w14:textId="77777777" w:rsidR="00582B75" w:rsidRDefault="00582B75">
      <w:r>
        <w:t>• The Stones on the Ephod (Exodus 28:12): The names of the twelve tribes are engraved on onyx stones and worn on the high priest's shoulders as a "memorial" before the Lord, symbolizing that he carries the people into God’s presence.</w:t>
      </w:r>
    </w:p>
    <w:p w14:paraId="0773B83F" w14:textId="77777777" w:rsidR="00582B75" w:rsidRDefault="00582B75">
      <w:r>
        <w:t>• The Trumpets (Numbers 10:10): The blowing of silver trumpets over sacrifices serves as a "memorial" to ensure God remembers His people in times of war or worship.</w:t>
      </w:r>
    </w:p>
    <w:p w14:paraId="4D0BC3A1" w14:textId="77777777" w:rsidR="00582B75" w:rsidRDefault="00582B75"/>
    <w:p w14:paraId="1DDA6092" w14:textId="77777777" w:rsidR="00582B75" w:rsidRPr="00582B75" w:rsidRDefault="00582B75">
      <w:pPr>
        <w:rPr>
          <w:b/>
        </w:rPr>
      </w:pPr>
      <w:r w:rsidRPr="00582B75">
        <w:rPr>
          <w:b/>
        </w:rPr>
        <w:t xml:space="preserve"> 4. Theological Implications</w:t>
      </w:r>
    </w:p>
    <w:p w14:paraId="1FF47001" w14:textId="77777777" w:rsidR="00582B75" w:rsidRDefault="00582B75">
      <w:r>
        <w:t>Theologically, zikkarôn reveals the reciprocal nature of the covenant relationship. While humans need memorials to prevent spiritual amnesia—a constant danger for Israel—the scriptures also speak of memorials "before the LORD." This does not suggest that God suffers from forgetfulness. Rather, it is a covenantal anthropomorphism: when God "sees" the memorial, He acts in accordance with His promises. The memorial represents the believer's appeal to God's character, mercy, and covenant.</w:t>
      </w:r>
    </w:p>
    <w:p w14:paraId="79C2D40F" w14:textId="77777777" w:rsidR="00582B75" w:rsidRDefault="00582B75"/>
    <w:p w14:paraId="50C820EE" w14:textId="77777777" w:rsidR="00582B75" w:rsidRPr="00582B75" w:rsidRDefault="00582B75">
      <w:pPr>
        <w:rPr>
          <w:b/>
        </w:rPr>
      </w:pPr>
      <w:r w:rsidRPr="00582B75">
        <w:rPr>
          <w:b/>
        </w:rPr>
        <w:t xml:space="preserve"> 5. Contextual Nuance in the Passage</w:t>
      </w:r>
    </w:p>
    <w:p w14:paraId="197C4492" w14:textId="77777777" w:rsidR="00582B75" w:rsidRDefault="00582B75">
      <w:r>
        <w:t xml:space="preserve">In Exodus 30:16, the zikkarôn is the "atonement money" (kesep hakkippurîm) collected during the census. Each Israelite, rich or poor, had to pay a half-shekel of silver as a ransom (kōper) for his life. This silver was melted down and used for the silver sockets of the tabernacle sanctuary. </w:t>
      </w:r>
    </w:p>
    <w:p w14:paraId="17ACA7C3" w14:textId="77777777" w:rsidR="00582B75" w:rsidRDefault="00582B75">
      <w:r>
        <w:t>As a "memorial before the LORD," this silver served a dual purpose:</w:t>
      </w:r>
    </w:p>
    <w:p w14:paraId="2373E044" w14:textId="77777777" w:rsidR="00582B75" w:rsidRDefault="00582B75">
      <w:r>
        <w:t>• For God: It stood as a permanent, physical testimony in the tabernacle structure that the people of Israel had been ransomed by blood-bought covenant provisions, averting any plague among them.</w:t>
      </w:r>
    </w:p>
    <w:p w14:paraId="4E60F4DB" w14:textId="77777777" w:rsidR="00582B75" w:rsidRDefault="00582B75">
      <w:r>
        <w:t>• For Israel: Every time they looked at the sanctuary, they were reminded that their standing before a holy God was entirely dependent on redemption and atonement, leveling all social distinctions under a single ransom price.</w:t>
      </w:r>
    </w:p>
    <w:p w14:paraId="6B16DC35" w14:textId="77777777" w:rsidR="00582B75" w:rsidRDefault="00582B75"/>
    <w:p w14:paraId="270121B3" w14:textId="77777777" w:rsidR="00582B75" w:rsidRPr="00582B75" w:rsidRDefault="00582B75">
      <w:pPr>
        <w:rPr>
          <w:b/>
        </w:rPr>
      </w:pPr>
      <w:r w:rsidRPr="00582B75">
        <w:rPr>
          <w:b/>
        </w:rPr>
        <w:t xml:space="preserve"> 6. Key Uses in Other Verses (NKJV)</w:t>
      </w:r>
    </w:p>
    <w:p w14:paraId="534396EC" w14:textId="77777777" w:rsidR="00582B75" w:rsidRDefault="00582B75">
      <w:r>
        <w:t>• Exodus 12:14: "So this day shall be to you a memorial; and you shall keep it as a feast to the LORD throughout your generations."</w:t>
      </w:r>
    </w:p>
    <w:p w14:paraId="55434731" w14:textId="77777777" w:rsidR="00582B75" w:rsidRDefault="00582B75">
      <w:r>
        <w:t>• Exodus 17:14: "Then the LORD said to Moses, 'Write this for a memorial in a book and recount it in the hearing of Joshua...'"</w:t>
      </w:r>
    </w:p>
    <w:p w14:paraId="30628496" w14:textId="77777777" w:rsidR="00582B75" w:rsidRDefault="00582B75">
      <w:r>
        <w:t>• Exodus 28:12: "And you shall put the two stones on the shoulders of the ephod as memorial stones for the sons of Israel."</w:t>
      </w:r>
    </w:p>
    <w:p w14:paraId="65B9CA26" w14:textId="77777777" w:rsidR="00582B75" w:rsidRDefault="00582B75">
      <w:r>
        <w:t>• Joshua 4:7: "Then you shall answer them that the waters of the Jordan were cut off before the ark of the covenant of the LORD... And these stones shall be for a memorial to the children of Israel forever."</w:t>
      </w:r>
    </w:p>
    <w:p w14:paraId="33AEE2DD" w14:textId="77777777" w:rsidR="00582B75" w:rsidRDefault="00582B75">
      <w:r>
        <w:t>• Zechariah 6:14: "Now the elaborate crown shall be for a memorial in the temple of the LORD..."</w:t>
      </w:r>
    </w:p>
    <w:p w14:paraId="1C6DAAEC" w14:textId="77777777" w:rsidR="00582B75" w:rsidRDefault="00582B75"/>
    <w:p w14:paraId="3CA7D08C" w14:textId="77777777" w:rsidR="00582B75" w:rsidRPr="00582B75" w:rsidRDefault="00582B75">
      <w:pPr>
        <w:rPr>
          <w:b/>
        </w:rPr>
      </w:pPr>
      <w:r w:rsidRPr="00582B75">
        <w:rPr>
          <w:b/>
        </w:rPr>
        <w:t xml:space="preserve"> 7. Other Relevant Insights</w:t>
      </w:r>
    </w:p>
    <w:p w14:paraId="603CA02F" w14:textId="77777777" w:rsidR="00582B75" w:rsidRDefault="00582B75">
      <w:r>
        <w:t>In the Septuagint (the ancient Greek translation of the Old Testament), zikkarôn is translated using the noun mnēmosynon. This is the exact word used in the New Testament when the angel tells the Roman centurion Cornelius, "Your prayers and your alms have come up for a memorial (mnēmosynon) before God" (Acts 10:4). Just as the silver shekels in Exodus 30 functioned as a physical reminder of ransom, Cornelius’s acts of devotion ascended into the heavenly sanctuary as a sweet-smelling reminder of his faith, prompting God to initiate the next step of his redemption.</w:t>
      </w:r>
    </w:p>
    <w:p w14:paraId="1779D0FE" w14:textId="77777777" w:rsidR="00582B75" w:rsidRDefault="00582B75"/>
    <w:p w14:paraId="1441ED18" w14:textId="77777777" w:rsidR="00582B75" w:rsidRPr="00582B75" w:rsidRDefault="00582B75">
      <w:pPr>
        <w:rPr>
          <w:b/>
        </w:rPr>
      </w:pPr>
      <w:r w:rsidRPr="00582B75">
        <w:rPr>
          <w:b/>
        </w:rPr>
        <w:t xml:space="preserve"> 8. References</w:t>
      </w:r>
    </w:p>
    <w:p w14:paraId="223EA9E5" w14:textId="77777777" w:rsidR="00582B75" w:rsidRDefault="00582B75">
      <w:r>
        <w:t>• Brown, Francis, S.R. Driver, and Charles A. Briggs. The Brown-Driver-Briggs Hebrew and English Lexicon.</w:t>
      </w:r>
    </w:p>
    <w:p w14:paraId="369ECAB2" w14:textId="77777777" w:rsidR="00582B75" w:rsidRDefault="00582B75">
      <w:r>
        <w:t>• Harris, R. Laird, Gleason L. Archer Jr., and Bruce K. Waltke. Theological Wordbook of the Old Testament.</w:t>
      </w:r>
    </w:p>
    <w:p w14:paraId="267CB916" w14:textId="77777777" w:rsidR="00582B75" w:rsidRDefault="00582B75">
      <w:r>
        <w:t>• Koehler, Ludwig, and Walter Baumgartner. The Hebrew and Aramaic Lexicon of the Old Testament.</w:t>
      </w:r>
    </w:p>
    <w:p w14:paraId="654B4BE3" w14:textId="25307B69" w:rsidR="004C5552" w:rsidRDefault="00582B75">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2B75"/>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3954"/>
  <w15:chartTrackingRefBased/>
  <w15:docId w15:val="{28888CD0-09C4-4553-BB61-1C76C0DD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2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2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B75"/>
    <w:rPr>
      <w:rFonts w:eastAsiaTheme="majorEastAsia" w:cstheme="majorBidi"/>
      <w:color w:val="272727" w:themeColor="text1" w:themeTint="D8"/>
    </w:rPr>
  </w:style>
  <w:style w:type="paragraph" w:styleId="Title">
    <w:name w:val="Title"/>
    <w:basedOn w:val="Normal"/>
    <w:next w:val="Normal"/>
    <w:link w:val="TitleChar"/>
    <w:uiPriority w:val="10"/>
    <w:qFormat/>
    <w:rsid w:val="00582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B75"/>
    <w:pPr>
      <w:spacing w:before="160"/>
      <w:jc w:val="center"/>
    </w:pPr>
    <w:rPr>
      <w:i/>
      <w:iCs/>
      <w:color w:val="404040" w:themeColor="text1" w:themeTint="BF"/>
    </w:rPr>
  </w:style>
  <w:style w:type="character" w:customStyle="1" w:styleId="QuoteChar">
    <w:name w:val="Quote Char"/>
    <w:basedOn w:val="DefaultParagraphFont"/>
    <w:link w:val="Quote"/>
    <w:uiPriority w:val="29"/>
    <w:rsid w:val="00582B75"/>
    <w:rPr>
      <w:i/>
      <w:iCs/>
      <w:color w:val="404040" w:themeColor="text1" w:themeTint="BF"/>
    </w:rPr>
  </w:style>
  <w:style w:type="paragraph" w:styleId="ListParagraph">
    <w:name w:val="List Paragraph"/>
    <w:basedOn w:val="Normal"/>
    <w:uiPriority w:val="34"/>
    <w:qFormat/>
    <w:rsid w:val="00582B75"/>
    <w:pPr>
      <w:ind w:left="720"/>
      <w:contextualSpacing/>
    </w:pPr>
  </w:style>
  <w:style w:type="character" w:styleId="IntenseEmphasis">
    <w:name w:val="Intense Emphasis"/>
    <w:basedOn w:val="DefaultParagraphFont"/>
    <w:uiPriority w:val="21"/>
    <w:qFormat/>
    <w:rsid w:val="00582B75"/>
    <w:rPr>
      <w:i/>
      <w:iCs/>
      <w:color w:val="2E74B5" w:themeColor="accent1" w:themeShade="BF"/>
    </w:rPr>
  </w:style>
  <w:style w:type="paragraph" w:styleId="IntenseQuote">
    <w:name w:val="Intense Quote"/>
    <w:basedOn w:val="Normal"/>
    <w:next w:val="Normal"/>
    <w:link w:val="IntenseQuoteChar"/>
    <w:uiPriority w:val="30"/>
    <w:qFormat/>
    <w:rsid w:val="00582B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2B75"/>
    <w:rPr>
      <w:i/>
      <w:iCs/>
      <w:color w:val="2E74B5" w:themeColor="accent1" w:themeShade="BF"/>
    </w:rPr>
  </w:style>
  <w:style w:type="character" w:styleId="IntenseReference">
    <w:name w:val="Intense Reference"/>
    <w:basedOn w:val="DefaultParagraphFont"/>
    <w:uiPriority w:val="32"/>
    <w:qFormat/>
    <w:rsid w:val="00582B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