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7F8A" w14:textId="77777777" w:rsidR="005E1AC1" w:rsidRPr="005E1AC1" w:rsidRDefault="005E1AC1">
      <w:pPr>
        <w:rPr>
          <w:b/>
        </w:rPr>
      </w:pPr>
      <w:r w:rsidRPr="005E1AC1">
        <w:rPr>
          <w:b/>
        </w:rPr>
        <w:t>DIE - ( muth , Strong's H4191 )</w:t>
      </w:r>
    </w:p>
    <w:p w14:paraId="06054EEC" w14:textId="77777777" w:rsidR="005E1AC1" w:rsidRDefault="005E1AC1">
      <w:r w:rsidRPr="005E1AC1">
        <w:rPr>
          <w:b/>
        </w:rPr>
        <w:t>Summary:</w:t>
      </w:r>
    </w:p>
    <w:p w14:paraId="626BF641" w14:textId="77777777" w:rsidR="005E1AC1" w:rsidRDefault="005E1AC1">
      <w:r>
        <w:t>The Hebrew verb mû</w:t>
      </w:r>
      <w:r>
        <w:rPr>
          <w:rFonts w:ascii="Calibri" w:hAnsi="Calibri" w:cs="Calibri"/>
        </w:rPr>
        <w:t>ṯ</w:t>
      </w:r>
      <w:r>
        <w:t xml:space="preserve"> (H4191) is the standard term for physical death, carrying the sobering weight of mortality and divine judgment. In the context of the Aaronic priesthood in Exodus 30:20, the warning "lest they die" is not a mere hygienic recommendation but a severe, protective boundary marker of divine holiness. To enter the presence of the holy God without the required ceremonial washing at the bronze laver meant immediate, lethal judgment. The word highlights the absolute chasm between a holy God and sinful humanity, emphasizing that spiritual preparation and cleansing are not optional but are matters of life and death.</w:t>
      </w:r>
    </w:p>
    <w:p w14:paraId="54471BFB" w14:textId="77777777" w:rsidR="005E1AC1" w:rsidRDefault="005E1AC1"/>
    <w:p w14:paraId="4BE6CDCC" w14:textId="77777777" w:rsidR="005E1AC1" w:rsidRDefault="005E1AC1">
      <w:r w:rsidRPr="005E1AC1">
        <w:rPr>
          <w:b/>
        </w:rPr>
        <w:t>Full Study:</w:t>
      </w:r>
    </w:p>
    <w:p w14:paraId="5C748F6E" w14:textId="77777777" w:rsidR="005E1AC1" w:rsidRDefault="005E1AC1"/>
    <w:p w14:paraId="28C48CE7" w14:textId="77777777" w:rsidR="005E1AC1" w:rsidRPr="005E1AC1" w:rsidRDefault="005E1AC1">
      <w:pPr>
        <w:rPr>
          <w:b/>
        </w:rPr>
      </w:pPr>
      <w:r w:rsidRPr="005E1AC1">
        <w:rPr>
          <w:b/>
        </w:rPr>
        <w:t>1. Word Picture / Background</w:t>
      </w:r>
    </w:p>
    <w:p w14:paraId="29328F7D" w14:textId="77777777" w:rsidR="005E1AC1" w:rsidRDefault="005E1AC1">
      <w:r>
        <w:t>• mû</w:t>
      </w:r>
      <w:r>
        <w:rPr>
          <w:rFonts w:ascii="Calibri" w:hAnsi="Calibri" w:cs="Calibri"/>
        </w:rPr>
        <w:t>ṯ</w:t>
      </w:r>
      <w:r>
        <w:t xml:space="preserve"> is a primary Hebrew root used more than 800 times in the Old Testament. Historically and etymologically, it refers to the cessation of physical life, expiring, or being put to death. It has cognates across virtually all Semitic languages, demonstrating its ancient and unchanging core meaning. Unlike modern concepts that sometimes view death as a natural transition, the Old Testament frequently associates mû</w:t>
      </w:r>
      <w:r>
        <w:rPr>
          <w:rFonts w:ascii="Calibri" w:hAnsi="Calibri" w:cs="Calibri"/>
        </w:rPr>
        <w:t>ṯ</w:t>
      </w:r>
      <w:r>
        <w:t xml:space="preserve"> with judgment, the consequence of human rebellion (beginning in Genesis 2:17), and the strict boundaries of human limitation before the eternal, life-giving God.</w:t>
      </w:r>
    </w:p>
    <w:p w14:paraId="00A58B70" w14:textId="77777777" w:rsidR="005E1AC1" w:rsidRDefault="005E1AC1"/>
    <w:p w14:paraId="43D8AB49" w14:textId="77777777" w:rsidR="005E1AC1" w:rsidRPr="005E1AC1" w:rsidRDefault="005E1AC1">
      <w:pPr>
        <w:rPr>
          <w:b/>
        </w:rPr>
      </w:pPr>
      <w:r w:rsidRPr="005E1AC1">
        <w:rPr>
          <w:b/>
        </w:rPr>
        <w:t>2. Meaning / Lexical Definition</w:t>
      </w:r>
    </w:p>
    <w:p w14:paraId="58189071" w14:textId="77777777" w:rsidR="005E1AC1" w:rsidRDefault="005E1AC1">
      <w:r>
        <w:t>The verb mû</w:t>
      </w:r>
      <w:r>
        <w:rPr>
          <w:rFonts w:ascii="Calibri" w:hAnsi="Calibri" w:cs="Calibri"/>
        </w:rPr>
        <w:t>ṯ</w:t>
      </w:r>
      <w:r>
        <w:t xml:space="preserve"> refers to the physical termination of life. In the Qal stem (as seen in Exodus 30:20), it means to die, whether by natural causes, divine judgment, or human execution. In other stems, like the Hiphil, it means to kill or put to death, and in the Hophal, to be executed. In Exodus 30:20, the Qal imperfect form yāmutû (preceded by the negative particle wĕlō', literally "and they shall not die") expresses a direct consequence: failure to wash results in their immediate, supernatural execution by God for violating the boundaries of His sacred space.</w:t>
      </w:r>
    </w:p>
    <w:p w14:paraId="207D1B28" w14:textId="77777777" w:rsidR="005E1AC1" w:rsidRDefault="005E1AC1"/>
    <w:p w14:paraId="3B0B3FCC" w14:textId="77777777" w:rsidR="005E1AC1" w:rsidRPr="005E1AC1" w:rsidRDefault="005E1AC1">
      <w:pPr>
        <w:rPr>
          <w:b/>
        </w:rPr>
      </w:pPr>
      <w:r w:rsidRPr="005E1AC1">
        <w:rPr>
          <w:b/>
        </w:rPr>
        <w:t>3. Usage and Word Pictures</w:t>
      </w:r>
    </w:p>
    <w:p w14:paraId="141FA9C0" w14:textId="77777777" w:rsidR="005E1AC1" w:rsidRDefault="005E1AC1">
      <w:r>
        <w:t>While mû</w:t>
      </w:r>
      <w:r>
        <w:rPr>
          <w:rFonts w:ascii="Calibri" w:hAnsi="Calibri" w:cs="Calibri"/>
        </w:rPr>
        <w:t>ṯ</w:t>
      </w:r>
      <w:r>
        <w:t xml:space="preserve"> is predominantly literal, it carries rich theological word pictures throughout Scripture.</w:t>
      </w:r>
    </w:p>
    <w:p w14:paraId="0128BC32" w14:textId="77777777" w:rsidR="005E1AC1" w:rsidRDefault="005E1AC1">
      <w:r>
        <w:t>• The Ultimate Penalty: In the Garden of Eden, God warned, "you shall surely die" (môt tāmût), establishing death as the ultimate consequence of disobedience.</w:t>
      </w:r>
    </w:p>
    <w:p w14:paraId="724665FD" w14:textId="77777777" w:rsidR="005E1AC1" w:rsidRDefault="005E1AC1">
      <w:r>
        <w:t>• Judicial Execution: The law frequently used the emphatic phrase môt yûmat ("he shall surely be put to death") to highlight the non-negotiable penalty for crimes against the covenant.</w:t>
      </w:r>
    </w:p>
    <w:p w14:paraId="0BEDC34F" w14:textId="77777777" w:rsidR="005E1AC1" w:rsidRDefault="005E1AC1">
      <w:r>
        <w:t>• The Path of Death: The Old Testament often pairs mû</w:t>
      </w:r>
      <w:r>
        <w:rPr>
          <w:rFonts w:ascii="Calibri" w:hAnsi="Calibri" w:cs="Calibri"/>
        </w:rPr>
        <w:t>ṯ</w:t>
      </w:r>
      <w:r>
        <w:t xml:space="preserve"> with </w:t>
      </w:r>
      <w:r>
        <w:rPr>
          <w:rFonts w:ascii="Calibri" w:hAnsi="Calibri" w:cs="Calibri"/>
        </w:rPr>
        <w:t>ḥ</w:t>
      </w:r>
      <w:r>
        <w:t>āyāh (to live), presenting life and death as the ultimate choices before God's people (Deuteronomy 30:19). In the tabernacle context, washing is the dividing line between these two realms.</w:t>
      </w:r>
    </w:p>
    <w:p w14:paraId="7BB4464B" w14:textId="77777777" w:rsidR="005E1AC1" w:rsidRDefault="005E1AC1"/>
    <w:p w14:paraId="7AC39418" w14:textId="77777777" w:rsidR="005E1AC1" w:rsidRPr="005E1AC1" w:rsidRDefault="005E1AC1">
      <w:pPr>
        <w:rPr>
          <w:b/>
        </w:rPr>
      </w:pPr>
      <w:r w:rsidRPr="005E1AC1">
        <w:rPr>
          <w:b/>
        </w:rPr>
        <w:t>4. Theological Implications</w:t>
      </w:r>
    </w:p>
    <w:p w14:paraId="440F6DE0" w14:textId="77777777" w:rsidR="005E1AC1" w:rsidRDefault="005E1AC1">
      <w:r>
        <w:t>The presence of mû</w:t>
      </w:r>
      <w:r>
        <w:rPr>
          <w:rFonts w:ascii="Calibri" w:hAnsi="Calibri" w:cs="Calibri"/>
        </w:rPr>
        <w:t>ṯ</w:t>
      </w:r>
      <w:r>
        <w:t xml:space="preserve"> in the instructions for the tabernacle highlights the dangerous nature of divine holiness. God is a consuming fire. For sinful, dust-born humans to approach the Lord, they must be consecrated and cleansed. The warning of death at the bronze laver reveals several key truths:</w:t>
      </w:r>
    </w:p>
    <w:p w14:paraId="322BC887" w14:textId="77777777" w:rsidR="005E1AC1" w:rsidRDefault="005E1AC1">
      <w:r>
        <w:t>• Holiness is Lethal to Sin: God's holiness is not a passive beauty but an active, consuming purity. Approaching God carelessly or on human terms brings destruction.</w:t>
      </w:r>
    </w:p>
    <w:p w14:paraId="1F8C2E9A" w14:textId="77777777" w:rsidR="005E1AC1" w:rsidRDefault="005E1AC1">
      <w:r>
        <w:t>• Cleansing Precedes Communion: Before the priests could enter the Tent of Meeting or offer sacrifices on the altar, they had to wash. Spiritual cleansing is a non-negotiable prerequisite for ministering to the Lord.</w:t>
      </w:r>
    </w:p>
    <w:p w14:paraId="5FF0B8C3" w14:textId="77777777" w:rsidR="005E1AC1" w:rsidRDefault="005E1AC1">
      <w:r>
        <w:t>• Grace in the Warning: The warning "lest they die" is actually an act of mercy. God does not seek to destroy His priests; He provides the precise means (the laver) by which they can survive and thrive in His presence.</w:t>
      </w:r>
    </w:p>
    <w:p w14:paraId="0CEB1BC4" w14:textId="77777777" w:rsidR="005E1AC1" w:rsidRDefault="005E1AC1"/>
    <w:p w14:paraId="1AF4427D" w14:textId="77777777" w:rsidR="005E1AC1" w:rsidRPr="005E1AC1" w:rsidRDefault="005E1AC1">
      <w:pPr>
        <w:rPr>
          <w:b/>
        </w:rPr>
      </w:pPr>
      <w:r w:rsidRPr="005E1AC1">
        <w:rPr>
          <w:b/>
        </w:rPr>
        <w:t>5. Contextual Nuance in the Passage</w:t>
      </w:r>
    </w:p>
    <w:p w14:paraId="5F01E085" w14:textId="77777777" w:rsidR="005E1AC1" w:rsidRDefault="005E1AC1">
      <w:r>
        <w:t>In Exodus 30:20, the laver of bronze stands between the altar of burnt offering and the tabernacle. The priests, Aaron and his sons, had to wash their hands and feet every time they entered the sanctuary or approached the altar.</w:t>
      </w:r>
    </w:p>
    <w:p w14:paraId="1EF4EC86" w14:textId="77777777" w:rsidR="005E1AC1" w:rsidRDefault="005E1AC1">
      <w:r>
        <w:t>• The phrase wĕlō' yāmutû ("and they shall not die") is repeated twice in quick succession (verses 20 and 21) for intense emphasis.</w:t>
      </w:r>
    </w:p>
    <w:p w14:paraId="358F846B" w14:textId="77777777" w:rsidR="005E1AC1" w:rsidRDefault="005E1AC1">
      <w:r>
        <w:t>• The hands represent the priest's actions (service), and the feet represent his walk (conduct). Even though the priests were already consecrated in a one-time ceremony (Exodus 29), they contracted daily defilement from walking on the earth. Daily cleansing was required to prevent immediate death in service.</w:t>
      </w:r>
    </w:p>
    <w:p w14:paraId="2593675A" w14:textId="77777777" w:rsidR="005E1AC1" w:rsidRDefault="005E1AC1">
      <w:r>
        <w:t>• The threat of death here underscores that familiarity must never breed contempt. The priests could easily become casual about their holy duties; the threat of mû</w:t>
      </w:r>
      <w:r>
        <w:rPr>
          <w:rFonts w:ascii="Calibri" w:hAnsi="Calibri" w:cs="Calibri"/>
        </w:rPr>
        <w:t>ṯ</w:t>
      </w:r>
      <w:r>
        <w:t xml:space="preserve"> served as a constant, sobering reminder of the gravity of their office.</w:t>
      </w:r>
    </w:p>
    <w:p w14:paraId="04A2EB78" w14:textId="77777777" w:rsidR="005E1AC1" w:rsidRDefault="005E1AC1"/>
    <w:p w14:paraId="43C69824" w14:textId="77777777" w:rsidR="005E1AC1" w:rsidRPr="005E1AC1" w:rsidRDefault="005E1AC1">
      <w:pPr>
        <w:rPr>
          <w:b/>
        </w:rPr>
      </w:pPr>
      <w:r w:rsidRPr="005E1AC1">
        <w:rPr>
          <w:b/>
        </w:rPr>
        <w:t>6. Key Uses in Other Verses (NKJV)</w:t>
      </w:r>
    </w:p>
    <w:p w14:paraId="28135315" w14:textId="77777777" w:rsidR="005E1AC1" w:rsidRDefault="005E1AC1">
      <w:r>
        <w:t>• Genesis 2:17: "but of the tree of the knowledge of good and evil you shall not eat, for in the day that you eat of it you shall surely die."</w:t>
      </w:r>
    </w:p>
    <w:p w14:paraId="4C003777" w14:textId="77777777" w:rsidR="005E1AC1" w:rsidRDefault="005E1AC1">
      <w:r>
        <w:t>• Numbers 18:3: "They shall attend to your needs and all the needs of the tabernacle; only they shall not come near the articles of the sanctuary and the altar, lest they die—they and you also."</w:t>
      </w:r>
    </w:p>
    <w:p w14:paraId="6117C4A8" w14:textId="77777777" w:rsidR="005E1AC1" w:rsidRDefault="005E1AC1">
      <w:r>
        <w:t>• Leviticus 10:2: "So fire went out from the LORD and devoured them, and they died before the LORD."</w:t>
      </w:r>
    </w:p>
    <w:p w14:paraId="24446063" w14:textId="77777777" w:rsidR="005E1AC1" w:rsidRDefault="005E1AC1">
      <w:r>
        <w:t>• Ezekiel 18:20: "The soul who sins shall die."</w:t>
      </w:r>
    </w:p>
    <w:p w14:paraId="2211C28C" w14:textId="77777777" w:rsidR="005E1AC1" w:rsidRDefault="005E1AC1"/>
    <w:p w14:paraId="14C789B4" w14:textId="77777777" w:rsidR="005E1AC1" w:rsidRPr="005E1AC1" w:rsidRDefault="005E1AC1">
      <w:pPr>
        <w:rPr>
          <w:b/>
        </w:rPr>
      </w:pPr>
      <w:r w:rsidRPr="005E1AC1">
        <w:rPr>
          <w:b/>
        </w:rPr>
        <w:t>7. Other Relevant Insights</w:t>
      </w:r>
    </w:p>
    <w:p w14:paraId="74DD15CE" w14:textId="77777777" w:rsidR="005E1AC1" w:rsidRDefault="005E1AC1">
      <w:r>
        <w:t>In the New Testament, this Old Testament concept of physical death (mû</w:t>
      </w:r>
      <w:r>
        <w:rPr>
          <w:rFonts w:ascii="Calibri" w:hAnsi="Calibri" w:cs="Calibri"/>
        </w:rPr>
        <w:t>ṯ</w:t>
      </w:r>
      <w:r>
        <w:t>) for violating holy space is mirrored in the warning regarding the Lord's Supper in 1 Corinthians 11:30, where Paul notes that some are weak, sick, and "many sleep" (have died) because of eating and drinking in an unworthy manner. Just as the bronze laver washed away physical and ceremonial defilement so the priests would not die, the blood of Jesus Christ cleanses the believer's conscience from dead works to serve the living God (Hebrews 9:14), granting safe, bold access to the throne of grace.</w:t>
      </w:r>
    </w:p>
    <w:p w14:paraId="22C72A74" w14:textId="77777777" w:rsidR="005E1AC1" w:rsidRDefault="005E1AC1"/>
    <w:p w14:paraId="1C44268B" w14:textId="77777777" w:rsidR="005E1AC1" w:rsidRPr="005E1AC1" w:rsidRDefault="005E1AC1">
      <w:pPr>
        <w:rPr>
          <w:b/>
        </w:rPr>
      </w:pPr>
      <w:r w:rsidRPr="005E1AC1">
        <w:rPr>
          <w:b/>
        </w:rPr>
        <w:t>8. References</w:t>
      </w:r>
    </w:p>
    <w:p w14:paraId="5063B04E" w14:textId="77777777" w:rsidR="005E1AC1" w:rsidRDefault="005E1AC1">
      <w:r>
        <w:t>• Brown, Driver, and Briggs. Hebrew and English Lexicon of the Old Testament.</w:t>
      </w:r>
    </w:p>
    <w:p w14:paraId="1D617106" w14:textId="77777777" w:rsidR="005E1AC1" w:rsidRDefault="005E1AC1">
      <w:r>
        <w:t>• Harris, R. Laird, Gleason L. Archer Jr., and Bruce K. Waltke. Theological Wordbook of the Old Testament.</w:t>
      </w:r>
    </w:p>
    <w:p w14:paraId="73BD91A1" w14:textId="77777777" w:rsidR="005E1AC1" w:rsidRDefault="005E1AC1">
      <w:r>
        <w:t>• VanGemeren, Willem A., ed. New International Dictionary of Old Testament Theology and Exegesis.</w:t>
      </w:r>
    </w:p>
    <w:p w14:paraId="119B8B52" w14:textId="4A88CB84" w:rsidR="004C5552" w:rsidRDefault="005E1AC1">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A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1AC1"/>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103B"/>
  <w15:chartTrackingRefBased/>
  <w15:docId w15:val="{3FEBC2AC-FB57-4B81-8D67-AAC4E9FB3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1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1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AC1"/>
    <w:rPr>
      <w:rFonts w:eastAsiaTheme="majorEastAsia" w:cstheme="majorBidi"/>
      <w:color w:val="272727" w:themeColor="text1" w:themeTint="D8"/>
    </w:rPr>
  </w:style>
  <w:style w:type="paragraph" w:styleId="Title">
    <w:name w:val="Title"/>
    <w:basedOn w:val="Normal"/>
    <w:next w:val="Normal"/>
    <w:link w:val="TitleChar"/>
    <w:uiPriority w:val="10"/>
    <w:qFormat/>
    <w:rsid w:val="005E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AC1"/>
    <w:pPr>
      <w:spacing w:before="160"/>
      <w:jc w:val="center"/>
    </w:pPr>
    <w:rPr>
      <w:i/>
      <w:iCs/>
      <w:color w:val="404040" w:themeColor="text1" w:themeTint="BF"/>
    </w:rPr>
  </w:style>
  <w:style w:type="character" w:customStyle="1" w:styleId="QuoteChar">
    <w:name w:val="Quote Char"/>
    <w:basedOn w:val="DefaultParagraphFont"/>
    <w:link w:val="Quote"/>
    <w:uiPriority w:val="29"/>
    <w:rsid w:val="005E1AC1"/>
    <w:rPr>
      <w:i/>
      <w:iCs/>
      <w:color w:val="404040" w:themeColor="text1" w:themeTint="BF"/>
    </w:rPr>
  </w:style>
  <w:style w:type="paragraph" w:styleId="ListParagraph">
    <w:name w:val="List Paragraph"/>
    <w:basedOn w:val="Normal"/>
    <w:uiPriority w:val="34"/>
    <w:qFormat/>
    <w:rsid w:val="005E1AC1"/>
    <w:pPr>
      <w:ind w:left="720"/>
      <w:contextualSpacing/>
    </w:pPr>
  </w:style>
  <w:style w:type="character" w:styleId="IntenseEmphasis">
    <w:name w:val="Intense Emphasis"/>
    <w:basedOn w:val="DefaultParagraphFont"/>
    <w:uiPriority w:val="21"/>
    <w:qFormat/>
    <w:rsid w:val="005E1AC1"/>
    <w:rPr>
      <w:i/>
      <w:iCs/>
      <w:color w:val="2E74B5" w:themeColor="accent1" w:themeShade="BF"/>
    </w:rPr>
  </w:style>
  <w:style w:type="paragraph" w:styleId="IntenseQuote">
    <w:name w:val="Intense Quote"/>
    <w:basedOn w:val="Normal"/>
    <w:next w:val="Normal"/>
    <w:link w:val="IntenseQuoteChar"/>
    <w:uiPriority w:val="30"/>
    <w:qFormat/>
    <w:rsid w:val="005E1A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1AC1"/>
    <w:rPr>
      <w:i/>
      <w:iCs/>
      <w:color w:val="2E74B5" w:themeColor="accent1" w:themeShade="BF"/>
    </w:rPr>
  </w:style>
  <w:style w:type="character" w:styleId="IntenseReference">
    <w:name w:val="Intense Reference"/>
    <w:basedOn w:val="DefaultParagraphFont"/>
    <w:uiPriority w:val="32"/>
    <w:qFormat/>
    <w:rsid w:val="005E1A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2026-08-14T10:57:00Z</dcterms:created>
  <dcterms:modified xsi:type="dcterms:W3CDTF">2026-08-14T10:57:00Z</dcterms:modified>
</cp:coreProperties>
</file>