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D0A4D" w14:textId="77777777" w:rsidR="0017557C" w:rsidRPr="0017557C" w:rsidRDefault="0017557C">
      <w:pPr>
        <w:rPr>
          <w:b/>
        </w:rPr>
      </w:pPr>
      <w:r w:rsidRPr="0017557C">
        <w:rPr>
          <w:b/>
        </w:rPr>
        <w:t>STATUTE - ( choq , Strong's H2706 )</w:t>
      </w:r>
    </w:p>
    <w:p w14:paraId="634ED030" w14:textId="77777777" w:rsidR="0017557C" w:rsidRDefault="0017557C">
      <w:r w:rsidRPr="0017557C">
        <w:rPr>
          <w:b/>
        </w:rPr>
        <w:t>Summary:</w:t>
      </w:r>
    </w:p>
    <w:p w14:paraId="08F9CC49" w14:textId="77777777" w:rsidR="0017557C" w:rsidRDefault="0017557C">
      <w:r>
        <w:t>The Hebrew word choq represents a prescribed limit, boundary, law, or decree established by an authority. Derived from a root meaning "to engrave" or "to carve," it carries the graphic word picture of an unalterable decree cut into stone or metal. In Exodus 30:21, it designates the perpetual priestly obligation of washing hands and feet at the bronze laver as an enduring, non-negotiable ordinance for Aaron and his descendants, highlighting that approach to a holy God must always be on His defined terms.</w:t>
      </w:r>
    </w:p>
    <w:p w14:paraId="225658B0" w14:textId="77777777" w:rsidR="0017557C" w:rsidRDefault="0017557C"/>
    <w:p w14:paraId="24E61086" w14:textId="77777777" w:rsidR="0017557C" w:rsidRDefault="0017557C">
      <w:r w:rsidRPr="0017557C">
        <w:rPr>
          <w:b/>
        </w:rPr>
        <w:t>Full Study:</w:t>
      </w:r>
    </w:p>
    <w:p w14:paraId="17433B04" w14:textId="77777777" w:rsidR="0017557C" w:rsidRDefault="0017557C"/>
    <w:p w14:paraId="53D36910" w14:textId="77777777" w:rsidR="0017557C" w:rsidRPr="0017557C" w:rsidRDefault="0017557C">
      <w:pPr>
        <w:rPr>
          <w:b/>
        </w:rPr>
      </w:pPr>
      <w:r w:rsidRPr="0017557C">
        <w:rPr>
          <w:b/>
        </w:rPr>
        <w:t>1. Word Picture / Background</w:t>
      </w:r>
    </w:p>
    <w:p w14:paraId="77D3E6EA" w14:textId="77777777" w:rsidR="0017557C" w:rsidRDefault="0017557C">
      <w:r>
        <w:t>• choq is derived from the verbal root chaqaq, which means "to engrave," "to carve," "to cut in," or "to inscribe." Historically, ancient laws and decrees were chiseled into stone monuments, clay tablets, or metal plates to ensure their permanence and public visibility. This etymological background provides a vivid word picture: a choq is not a temporary suggestion or a flexible guideline, but a law "carved in stone." It speaks of durability, permanence, and unchangeable authority. The word also carries the physical sense of a boundary or limit, such as the boundary set for the sea or the physical laws governing the heavens.</w:t>
      </w:r>
    </w:p>
    <w:p w14:paraId="3F1642BD" w14:textId="77777777" w:rsidR="0017557C" w:rsidRDefault="0017557C"/>
    <w:p w14:paraId="4C82DAA5" w14:textId="77777777" w:rsidR="0017557C" w:rsidRPr="0017557C" w:rsidRDefault="0017557C">
      <w:pPr>
        <w:rPr>
          <w:b/>
        </w:rPr>
      </w:pPr>
      <w:r w:rsidRPr="0017557C">
        <w:rPr>
          <w:b/>
        </w:rPr>
        <w:t>2. Meaning / Lexical Definition</w:t>
      </w:r>
    </w:p>
    <w:p w14:paraId="32CB45EB" w14:textId="77777777" w:rsidR="0017557C" w:rsidRDefault="0017557C">
      <w:r>
        <w:t>The noun choq refers to:</w:t>
      </w:r>
    </w:p>
    <w:p w14:paraId="09EF2212" w14:textId="77777777" w:rsidR="0017557C" w:rsidRDefault="0017557C">
      <w:r>
        <w:t>• An enactment, statute, or decree issued by a socio-political or divine authority.</w:t>
      </w:r>
    </w:p>
    <w:p w14:paraId="72D58665" w14:textId="77777777" w:rsidR="0017557C" w:rsidRDefault="0017557C">
      <w:r>
        <w:t>• A prescribed portion, share, or allowance (such as food or land assigned to someone).</w:t>
      </w:r>
    </w:p>
    <w:p w14:paraId="660B1556" w14:textId="77777777" w:rsidR="0017557C" w:rsidRDefault="0017557C">
      <w:r>
        <w:t>• A limit, boundary, or law of nature.</w:t>
      </w:r>
    </w:p>
    <w:p w14:paraId="1AC7D744" w14:textId="77777777" w:rsidR="0017557C" w:rsidRDefault="0017557C">
      <w:r>
        <w:t>In the context of the Mosaic Law, choq (along with its feminine counterpart chuqqah) denotes specific, positive commandments or ritual ordinances. While other terms for law (such as mishpat) often refer to judgments or moral laws that appeal to intuitive human justice, a choq is often a sovereign decree for which the underlying moral or logical reason may not be immediately obvious, resting solely on the authority of the Lawgiver.</w:t>
      </w:r>
    </w:p>
    <w:p w14:paraId="55A80DCD" w14:textId="77777777" w:rsidR="0017557C" w:rsidRDefault="0017557C"/>
    <w:p w14:paraId="75ED9BB3" w14:textId="77777777" w:rsidR="0017557C" w:rsidRPr="0017557C" w:rsidRDefault="0017557C">
      <w:pPr>
        <w:rPr>
          <w:b/>
        </w:rPr>
      </w:pPr>
      <w:r w:rsidRPr="0017557C">
        <w:rPr>
          <w:b/>
        </w:rPr>
        <w:t>3. Usage and Word Pictures</w:t>
      </w:r>
    </w:p>
    <w:p w14:paraId="090CFF08" w14:textId="77777777" w:rsidR="0017557C" w:rsidRDefault="0017557C">
      <w:r>
        <w:t>The word choq appears frequently in the Old Testament, particularly in Deuteronomy and Psalms, often paired with other terms for God's revelation:</w:t>
      </w:r>
    </w:p>
    <w:p w14:paraId="76DCA294" w14:textId="77777777" w:rsidR="0017557C" w:rsidRDefault="0017557C">
      <w:r>
        <w:t>• Torah (instruction/law)</w:t>
      </w:r>
    </w:p>
    <w:p w14:paraId="40B0F28E" w14:textId="77777777" w:rsidR="0017557C" w:rsidRDefault="0017557C">
      <w:r>
        <w:t>• Mishpatim (judgments/ordinances)</w:t>
      </w:r>
    </w:p>
    <w:p w14:paraId="0001A8CE" w14:textId="77777777" w:rsidR="0017557C" w:rsidRDefault="0017557C">
      <w:r>
        <w:t>• Mitzvot (commandments)</w:t>
      </w:r>
    </w:p>
    <w:p w14:paraId="0207F699" w14:textId="77777777" w:rsidR="0017557C" w:rsidRDefault="0017557C">
      <w:r>
        <w:t>• Edot (testimonies)</w:t>
      </w:r>
    </w:p>
    <w:p w14:paraId="014477AE" w14:textId="77777777" w:rsidR="0017557C" w:rsidRDefault="0017557C">
      <w:r>
        <w:t>The physical word picture of a boundary is highly instructive. Just as God established a choq (boundary) for the waters of the ocean so they would not overflow their limits, He establishes chuqqim (statutes) for human behavior to mark out the boundaries of holy living. When used of ritual duties, it denotes a fixed, permanent share or obligation that cannot be altered or bypassed.</w:t>
      </w:r>
    </w:p>
    <w:p w14:paraId="0CC20B2C" w14:textId="77777777" w:rsidR="0017557C" w:rsidRDefault="0017557C"/>
    <w:p w14:paraId="49018AF2" w14:textId="77777777" w:rsidR="0017557C" w:rsidRPr="0017557C" w:rsidRDefault="0017557C">
      <w:pPr>
        <w:rPr>
          <w:b/>
        </w:rPr>
      </w:pPr>
      <w:r w:rsidRPr="0017557C">
        <w:rPr>
          <w:b/>
        </w:rPr>
        <w:t>4. Theological Implications</w:t>
      </w:r>
    </w:p>
    <w:p w14:paraId="5312E40C" w14:textId="77777777" w:rsidR="0017557C" w:rsidRDefault="0017557C">
      <w:r>
        <w:t xml:space="preserve">The theological significance of choq lies in its emphasis on God's absolute sovereignty. As the Creator and Covenant Lord, God has the right to engrave His will upon His creation and His people. </w:t>
      </w:r>
    </w:p>
    <w:p w14:paraId="675E63BA" w14:textId="77777777" w:rsidR="0017557C" w:rsidRDefault="0017557C">
      <w:r>
        <w:t>• It underscores that divine worship and ethical living are not self-determined. God prescribes the boundaries of acceptable worship.</w:t>
      </w:r>
    </w:p>
    <w:p w14:paraId="5122D564" w14:textId="77777777" w:rsidR="0017557C" w:rsidRDefault="0017557C">
      <w:r>
        <w:t>• The permanent nature of a choq reflects the unchanging character of God Himself. His moral standards and covenant expectations are not subject to cultural drift or human negotiation.</w:t>
      </w:r>
    </w:p>
    <w:p w14:paraId="7E736CE7" w14:textId="77777777" w:rsidR="0017557C" w:rsidRDefault="0017557C">
      <w:r>
        <w:t>• In the sacrificial and priestly system, these statutes guarded the holiness of God. Crossing these prescribed boundaries without following the ordained choq resulted in defilement or death, emphasizing the infinite gulf between the holy Creator and sinful humanity.</w:t>
      </w:r>
    </w:p>
    <w:p w14:paraId="1DB54576" w14:textId="77777777" w:rsidR="0017557C" w:rsidRDefault="0017557C"/>
    <w:p w14:paraId="1E91337D" w14:textId="77777777" w:rsidR="0017557C" w:rsidRPr="0017557C" w:rsidRDefault="0017557C">
      <w:pPr>
        <w:rPr>
          <w:b/>
        </w:rPr>
      </w:pPr>
      <w:r w:rsidRPr="0017557C">
        <w:rPr>
          <w:b/>
        </w:rPr>
        <w:t>5. Contextual Nuance in the Passage</w:t>
      </w:r>
    </w:p>
    <w:p w14:paraId="5E6AA632" w14:textId="77777777" w:rsidR="0017557C" w:rsidRDefault="0017557C">
      <w:r>
        <w:t xml:space="preserve">In Exodus 30:21, the choq concerns the washing of the priests' hands and feet at the bronze laver before they enter the Tabernacle or approach the altar. </w:t>
      </w:r>
    </w:p>
    <w:p w14:paraId="33E44B52" w14:textId="77777777" w:rsidR="0017557C" w:rsidRDefault="0017557C">
      <w:r>
        <w:t>• The text states, "And it shall be a statute forever to them..."</w:t>
      </w:r>
    </w:p>
    <w:p w14:paraId="6E587DAC" w14:textId="77777777" w:rsidR="0017557C" w:rsidRDefault="0017557C">
      <w:r>
        <w:t>• This specific ritual boundary was a matter of life and death: "that they do not die."</w:t>
      </w:r>
    </w:p>
    <w:p w14:paraId="22792F78" w14:textId="77777777" w:rsidR="0017557C" w:rsidRDefault="0017557C">
      <w:r>
        <w:t>• The contextual nuance is one of absolute, non-negotiable obedience regarding spiritual preparation. The priests could not decide for themselves when or how to cleanse; the ritual was "carved in stone" as an enduring requirement for every generation of Aaron’s lineage. It served as a constant physical reminder that internal purity is required to minister in the presence of a holy God.</w:t>
      </w:r>
    </w:p>
    <w:p w14:paraId="20D6725F" w14:textId="77777777" w:rsidR="0017557C" w:rsidRDefault="0017557C"/>
    <w:p w14:paraId="1F494AB1" w14:textId="77777777" w:rsidR="0017557C" w:rsidRPr="0017557C" w:rsidRDefault="0017557C">
      <w:pPr>
        <w:rPr>
          <w:b/>
        </w:rPr>
      </w:pPr>
      <w:r w:rsidRPr="0017557C">
        <w:rPr>
          <w:b/>
        </w:rPr>
        <w:t>6. Key Uses in Other Verses (NKJV)</w:t>
      </w:r>
    </w:p>
    <w:p w14:paraId="300170F4" w14:textId="77777777" w:rsidR="0017557C" w:rsidRDefault="0017557C">
      <w:r>
        <w:t>• Genesis 47:22 – "Only the land of the priests he did not buy; for the priests had portions [choq] allotted to them by Pharaoh..."</w:t>
      </w:r>
    </w:p>
    <w:p w14:paraId="3C684F36" w14:textId="77777777" w:rsidR="0017557C" w:rsidRDefault="0017557C">
      <w:r>
        <w:t>• Job 28:26 – "When He made a decree [choq] for the rain, and a way for the lightning of the thunder..."</w:t>
      </w:r>
    </w:p>
    <w:p w14:paraId="6B26D74D" w14:textId="77777777" w:rsidR="0017557C" w:rsidRDefault="0017557C">
      <w:r>
        <w:t>• Psalm 2:7 – "I will declare the decree [choq]: The Lord has said to Me, 'You are My Son, today I have begotten You.'"</w:t>
      </w:r>
    </w:p>
    <w:p w14:paraId="077FFDC0" w14:textId="77777777" w:rsidR="0017557C" w:rsidRDefault="0017557C">
      <w:r>
        <w:t>• Psalm 119:12 – "Blessed are You, O Lord! Teach me Your statutes [chuqqim]."</w:t>
      </w:r>
    </w:p>
    <w:p w14:paraId="474BC6C2" w14:textId="77777777" w:rsidR="0017557C" w:rsidRDefault="0017557C">
      <w:r>
        <w:t>• Proverbs 8:29 – "When He assigned to the sea its limit [choq], so that the waters would not transgress His command..."</w:t>
      </w:r>
    </w:p>
    <w:p w14:paraId="5675B934" w14:textId="77777777" w:rsidR="0017557C" w:rsidRDefault="0017557C"/>
    <w:p w14:paraId="552BEACB" w14:textId="77777777" w:rsidR="0017557C" w:rsidRPr="0017557C" w:rsidRDefault="0017557C">
      <w:pPr>
        <w:rPr>
          <w:b/>
        </w:rPr>
      </w:pPr>
      <w:r w:rsidRPr="0017557C">
        <w:rPr>
          <w:b/>
        </w:rPr>
        <w:t>7. Other Relevant Insights</w:t>
      </w:r>
    </w:p>
    <w:p w14:paraId="34F283D1" w14:textId="77777777" w:rsidR="0017557C" w:rsidRDefault="0017557C">
      <w:r>
        <w:t>In Jewish tradition, rabbinic literature often categorizes the commandments into mishpatim (rational laws, like prohibitions against murder or theft) and chuqqim (statutes that defy human rationale, such as dietary laws or the red heifer ritual). The choq is observed purely as an act of submissive obedience to the sovereign King. The priestly washing in Exodus 30:21 bridges these ideas; while washing makes physical sense, the spiritual penalty of death for omitting it elevates this physical act into a solemn, transcendent boundary set by God.</w:t>
      </w:r>
    </w:p>
    <w:p w14:paraId="61F433AB" w14:textId="77777777" w:rsidR="0017557C" w:rsidRDefault="0017557C"/>
    <w:p w14:paraId="6F33DBA3" w14:textId="77777777" w:rsidR="0017557C" w:rsidRPr="0017557C" w:rsidRDefault="0017557C">
      <w:pPr>
        <w:rPr>
          <w:b/>
        </w:rPr>
      </w:pPr>
      <w:r w:rsidRPr="0017557C">
        <w:rPr>
          <w:b/>
        </w:rPr>
        <w:t>8. References</w:t>
      </w:r>
    </w:p>
    <w:p w14:paraId="205822C2" w14:textId="77777777" w:rsidR="0017557C" w:rsidRDefault="0017557C">
      <w:r>
        <w:t>• Brown, F., Driver, S. R., &amp; Briggs, C. A. (1907). Enhanced Brown-Driver-Briggs Hebrew and English Lexicon.</w:t>
      </w:r>
    </w:p>
    <w:p w14:paraId="00B4FEA6" w14:textId="77777777" w:rsidR="0017557C" w:rsidRDefault="0017557C">
      <w:r>
        <w:t>• Harris, R. L., Archer, G. L., &amp; Waltke, B. K. (1980). Theological Wordbook of the Old Testament.</w:t>
      </w:r>
    </w:p>
    <w:p w14:paraId="669F0FDC" w14:textId="77777777" w:rsidR="0017557C" w:rsidRDefault="0017557C">
      <w:r>
        <w:t>• Koehler, L., Baumgartner, W., &amp; Stamm, J. J. (2001). The Hebrew and Aramaic Lexicon of the Old Testament.</w:t>
      </w:r>
    </w:p>
    <w:p w14:paraId="7F1D4135" w14:textId="77777777" w:rsidR="0017557C" w:rsidRDefault="0017557C">
      <w:r>
        <w:t>• VanGemeren, W. A. (Ed.). (1997). New International Dictionary of Old Testament Theology &amp; Exegesis.</w:t>
      </w:r>
    </w:p>
    <w:p w14:paraId="4029BF32" w14:textId="205B9128" w:rsidR="004C5552" w:rsidRDefault="0017557C">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57C"/>
    <w:rsid w:val="00017747"/>
    <w:rsid w:val="00023A4A"/>
    <w:rsid w:val="0006763F"/>
    <w:rsid w:val="000C53AC"/>
    <w:rsid w:val="00146083"/>
    <w:rsid w:val="0017557C"/>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1E83"/>
  <w15:chartTrackingRefBased/>
  <w15:docId w15:val="{C823FA5E-0FD8-4BE5-96B2-EF232D46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5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5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57C"/>
    <w:rPr>
      <w:rFonts w:eastAsiaTheme="majorEastAsia" w:cstheme="majorBidi"/>
      <w:color w:val="272727" w:themeColor="text1" w:themeTint="D8"/>
    </w:rPr>
  </w:style>
  <w:style w:type="paragraph" w:styleId="Title">
    <w:name w:val="Title"/>
    <w:basedOn w:val="Normal"/>
    <w:next w:val="Normal"/>
    <w:link w:val="TitleChar"/>
    <w:uiPriority w:val="10"/>
    <w:qFormat/>
    <w:rsid w:val="0017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57C"/>
    <w:pPr>
      <w:spacing w:before="160"/>
      <w:jc w:val="center"/>
    </w:pPr>
    <w:rPr>
      <w:i/>
      <w:iCs/>
      <w:color w:val="404040" w:themeColor="text1" w:themeTint="BF"/>
    </w:rPr>
  </w:style>
  <w:style w:type="character" w:customStyle="1" w:styleId="QuoteChar">
    <w:name w:val="Quote Char"/>
    <w:basedOn w:val="DefaultParagraphFont"/>
    <w:link w:val="Quote"/>
    <w:uiPriority w:val="29"/>
    <w:rsid w:val="0017557C"/>
    <w:rPr>
      <w:i/>
      <w:iCs/>
      <w:color w:val="404040" w:themeColor="text1" w:themeTint="BF"/>
    </w:rPr>
  </w:style>
  <w:style w:type="paragraph" w:styleId="ListParagraph">
    <w:name w:val="List Paragraph"/>
    <w:basedOn w:val="Normal"/>
    <w:uiPriority w:val="34"/>
    <w:qFormat/>
    <w:rsid w:val="0017557C"/>
    <w:pPr>
      <w:ind w:left="720"/>
      <w:contextualSpacing/>
    </w:pPr>
  </w:style>
  <w:style w:type="character" w:styleId="IntenseEmphasis">
    <w:name w:val="Intense Emphasis"/>
    <w:basedOn w:val="DefaultParagraphFont"/>
    <w:uiPriority w:val="21"/>
    <w:qFormat/>
    <w:rsid w:val="0017557C"/>
    <w:rPr>
      <w:i/>
      <w:iCs/>
      <w:color w:val="2E74B5" w:themeColor="accent1" w:themeShade="BF"/>
    </w:rPr>
  </w:style>
  <w:style w:type="paragraph" w:styleId="IntenseQuote">
    <w:name w:val="Intense Quote"/>
    <w:basedOn w:val="Normal"/>
    <w:next w:val="Normal"/>
    <w:link w:val="IntenseQuoteChar"/>
    <w:uiPriority w:val="30"/>
    <w:qFormat/>
    <w:rsid w:val="001755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557C"/>
    <w:rPr>
      <w:i/>
      <w:iCs/>
      <w:color w:val="2E74B5" w:themeColor="accent1" w:themeShade="BF"/>
    </w:rPr>
  </w:style>
  <w:style w:type="character" w:styleId="IntenseReference">
    <w:name w:val="Intense Reference"/>
    <w:basedOn w:val="DefaultParagraphFont"/>
    <w:uiPriority w:val="32"/>
    <w:qFormat/>
    <w:rsid w:val="001755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