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6BB0" w14:textId="77777777" w:rsidR="00227ABF" w:rsidRPr="00227ABF" w:rsidRDefault="00227ABF">
      <w:pPr>
        <w:rPr>
          <w:b/>
        </w:rPr>
      </w:pPr>
      <w:r w:rsidRPr="00227ABF">
        <w:rPr>
          <w:b/>
        </w:rPr>
        <w:t>MOST HOLY - ( qodesh , Strong's H6944 )</w:t>
      </w:r>
    </w:p>
    <w:p w14:paraId="12185A16" w14:textId="77777777" w:rsidR="00227ABF" w:rsidRDefault="00227ABF">
      <w:r w:rsidRPr="00227ABF">
        <w:rPr>
          <w:b/>
        </w:rPr>
        <w:t>Summary:</w:t>
      </w:r>
    </w:p>
    <w:p w14:paraId="68CC2AE3" w14:textId="77777777" w:rsidR="00227ABF" w:rsidRDefault="00227ABF">
      <w:r>
        <w:t>The Hebrew noun qodesh denotes apartness, sacredness, or holiness. In Exodus 30:29, it appears in a superlative duplicated form (qodesh qodashim, literally "holiness of holinesses"), translated as "most holy." This term designates people, places, or objects set entirely apart for Yahweh's service, possessing a level of consecration so intense that unauthorized contact is strictly forbidden and dangerous. In this context, it refers to the Tabernacle's altar and utensils, which, once anointed with the sacred oil, become permanently holy, transferring holiness to anything that touches them.</w:t>
      </w:r>
    </w:p>
    <w:p w14:paraId="4C89DDAB" w14:textId="77777777" w:rsidR="00227ABF" w:rsidRDefault="00227ABF"/>
    <w:p w14:paraId="7069B5F8" w14:textId="77777777" w:rsidR="00227ABF" w:rsidRDefault="00227ABF">
      <w:r w:rsidRPr="00227ABF">
        <w:rPr>
          <w:b/>
        </w:rPr>
        <w:t>Full Study:</w:t>
      </w:r>
    </w:p>
    <w:p w14:paraId="45A0E634" w14:textId="77777777" w:rsidR="00227ABF" w:rsidRDefault="00227ABF"/>
    <w:p w14:paraId="111A61FF" w14:textId="77777777" w:rsidR="00227ABF" w:rsidRPr="00227ABF" w:rsidRDefault="00227ABF">
      <w:pPr>
        <w:rPr>
          <w:b/>
        </w:rPr>
      </w:pPr>
      <w:r w:rsidRPr="00227ABF">
        <w:rPr>
          <w:b/>
        </w:rPr>
        <w:t xml:space="preserve"> 1. Word Picture / Background</w:t>
      </w:r>
    </w:p>
    <w:p w14:paraId="1BC4AC0C" w14:textId="77777777" w:rsidR="00227ABF" w:rsidRDefault="00227ABF">
      <w:r>
        <w:t>The Semitic root q-d-š carries the primary concept of cutting, dividing, or setting apart from common use. Historically, it describes a boundary line drawn between the ordinary, everyday world and the divine realm. In the ancient Near East, anointing with oil was used to designate ownership, high status, or complete consecration. When applied to the Tabernacle and its vessels, this ritual act withdrew these items from human ownership and common utility, placing them permanently into the sphere of the divine. The double use of the noun in the phrase qodesh qodashim ("most holy") functions as a superlative, representing the highest possible degree of sacredness. It is the verbal equivalent of a double-locked door, emphasizing an absolute barrier between the sinful world and God's immediate presence.</w:t>
      </w:r>
    </w:p>
    <w:p w14:paraId="6C10C2A2" w14:textId="77777777" w:rsidR="00227ABF" w:rsidRDefault="00227ABF"/>
    <w:p w14:paraId="3666854C" w14:textId="77777777" w:rsidR="00227ABF" w:rsidRPr="00227ABF" w:rsidRDefault="00227ABF">
      <w:pPr>
        <w:rPr>
          <w:b/>
        </w:rPr>
      </w:pPr>
      <w:r w:rsidRPr="00227ABF">
        <w:rPr>
          <w:b/>
        </w:rPr>
        <w:t xml:space="preserve"> 2. Meaning / Lexical Definition</w:t>
      </w:r>
    </w:p>
    <w:p w14:paraId="2DD81CA9" w14:textId="77777777" w:rsidR="00227ABF" w:rsidRDefault="00227ABF">
      <w:r>
        <w:t>The noun qodesh refers to holiness, sacredness, or a consecrated thing. When duplicated in the genitive construction qodesh qodashim, it expresses the superlative "most holy" or "holy of holies." This state of holiness is not merely a moral quality but a dynamic status of dedication to Yahweh. It stands in direct contrast to chol, which means common, ordinary, or profane. While "holy" (qodesh) items could be handled by the priests under specific conditions, "most holy" (qodesh qodashim) items were subject to the strictest taboos and could only be approached or handled in precise, divinely mandated ways.</w:t>
      </w:r>
    </w:p>
    <w:p w14:paraId="0DC35519" w14:textId="77777777" w:rsidR="00227ABF" w:rsidRDefault="00227ABF"/>
    <w:p w14:paraId="52540D88" w14:textId="77777777" w:rsidR="00227ABF" w:rsidRPr="00227ABF" w:rsidRDefault="00227ABF">
      <w:pPr>
        <w:rPr>
          <w:b/>
        </w:rPr>
      </w:pPr>
      <w:r w:rsidRPr="00227ABF">
        <w:rPr>
          <w:b/>
        </w:rPr>
        <w:t xml:space="preserve"> 3. Usage and Word Pictures</w:t>
      </w:r>
    </w:p>
    <w:p w14:paraId="4A5C5CBB" w14:textId="77777777" w:rsidR="00227ABF" w:rsidRDefault="00227ABF">
      <w:r>
        <w:t>The term qodesh is used extensively throughout the Old Testament ritual law. It paints several distinct word pictures:</w:t>
      </w:r>
    </w:p>
    <w:p w14:paraId="3054D2F5" w14:textId="77777777" w:rsidR="00227ABF" w:rsidRDefault="00227ABF">
      <w:r>
        <w:t>• The Boundaried Space: It describes the inner sanctuary of the Tabernacle, the Holy of Holies, where God's presence dwelt above the mercy seat.</w:t>
      </w:r>
    </w:p>
    <w:p w14:paraId="1BBA838C" w14:textId="77777777" w:rsidR="00227ABF" w:rsidRDefault="00227ABF">
      <w:r>
        <w:t>• The Set-Apart Portion: It describes the sacrifices (the sin offering, guilt offering, and grain offering) that belonged exclusively to God and could only be eaten by the priests in a holy place.</w:t>
      </w:r>
    </w:p>
    <w:p w14:paraId="2AAB0D6B" w14:textId="77777777" w:rsidR="00227ABF" w:rsidRDefault="00227ABF">
      <w:r>
        <w:t>• The Guarded Flame: It describes the incense and the anointing oil, which were forbidden from being copied for personal or ordinary cosmetic use.</w:t>
      </w:r>
    </w:p>
    <w:p w14:paraId="359A9A85" w14:textId="77777777" w:rsidR="00227ABF" w:rsidRDefault="00227ABF"/>
    <w:p w14:paraId="1903F878" w14:textId="77777777" w:rsidR="00227ABF" w:rsidRPr="00227ABF" w:rsidRDefault="00227ABF">
      <w:pPr>
        <w:rPr>
          <w:b/>
        </w:rPr>
      </w:pPr>
      <w:r w:rsidRPr="00227ABF">
        <w:rPr>
          <w:b/>
        </w:rPr>
        <w:t xml:space="preserve"> 4. Theological Implications</w:t>
      </w:r>
    </w:p>
    <w:p w14:paraId="52510344" w14:textId="77777777" w:rsidR="00227ABF" w:rsidRDefault="00227ABF">
      <w:r>
        <w:t>The concept of the "most holy" reveals the absolute transcendence of Yahweh. God is not merely a greater version of humanity; He is entirely "other," existing in a sphere of unapproachable purity. Furthermore, the Old Covenant system demonstrates a concept of "contagious holiness." While uncleanness was contagious and could defile, the "most holy" objects possessed a holiness so powerful that it could be transferred to whatever touched them. This theological reality points forward to Jesus Christ. In the Gospels, when Jesus touched the unclean—such as lepers or the dead—He did not become unclean. Instead, His supreme holiness transferred healing, life, and purity to them, fulfilling the ultimate trajectory of the "most holy."</w:t>
      </w:r>
    </w:p>
    <w:p w14:paraId="0B83E689" w14:textId="77777777" w:rsidR="00227ABF" w:rsidRDefault="00227ABF"/>
    <w:p w14:paraId="331FBE96" w14:textId="77777777" w:rsidR="00227ABF" w:rsidRPr="00227ABF" w:rsidRDefault="00227ABF">
      <w:pPr>
        <w:rPr>
          <w:b/>
        </w:rPr>
      </w:pPr>
      <w:r w:rsidRPr="00227ABF">
        <w:rPr>
          <w:b/>
        </w:rPr>
        <w:t xml:space="preserve"> 5. Contextual Nuance in the Passage</w:t>
      </w:r>
    </w:p>
    <w:p w14:paraId="329A7930" w14:textId="77777777" w:rsidR="00227ABF" w:rsidRDefault="00227ABF">
      <w:r>
        <w:t>In Exodus 30:29, the context is the consecration of the Tabernacle, the ark, the table, the altar of incense, the altar of burnt offering, the laver, and all their utensils using the specially formulated holy anointing oil. By anointing them, Moses consecrated them so that they became "most holy." The clause "whatever touches them must be holy" (or "shall become holy") carries a dual warning. First, it means that any person or thing touching these objects is immediately claimed by God as His exclusive property. Second, because of the intense holiness of these objects, any unauthorized or unclean person who touched them would violate the divine boundary and face immediate judgment or death. Holiness in this context is a physical, powerful reality requiring meticulous care.</w:t>
      </w:r>
    </w:p>
    <w:p w14:paraId="76BC8B30" w14:textId="77777777" w:rsidR="00227ABF" w:rsidRDefault="00227ABF"/>
    <w:p w14:paraId="12A2D2BE" w14:textId="77777777" w:rsidR="00227ABF" w:rsidRPr="00227ABF" w:rsidRDefault="00227ABF">
      <w:pPr>
        <w:rPr>
          <w:b/>
        </w:rPr>
      </w:pPr>
      <w:r w:rsidRPr="00227ABF">
        <w:rPr>
          <w:b/>
        </w:rPr>
        <w:t xml:space="preserve"> 6. Key Uses in Other Verses (NKJV)</w:t>
      </w:r>
    </w:p>
    <w:p w14:paraId="26C7A42C" w14:textId="77777777" w:rsidR="00227ABF" w:rsidRDefault="00227ABF">
      <w:r>
        <w:t>• Exodus 26:33 - "And you shall hang the veil from the clasps. Then you shall bring the ark of the Testimony in there behind the veil. The veil shall be a divider for you between the holy place and the Most Holy."</w:t>
      </w:r>
    </w:p>
    <w:p w14:paraId="05B6CE43" w14:textId="77777777" w:rsidR="00227ABF" w:rsidRDefault="00227ABF">
      <w:r>
        <w:t>• Leviticus 2:3 - "The remnant of the grain offering shall be Aaron’s and his sons’. It is most holy of the offerings to the Lord made by fire."</w:t>
      </w:r>
    </w:p>
    <w:p w14:paraId="5E4ED40F" w14:textId="77777777" w:rsidR="00227ABF" w:rsidRDefault="00227ABF">
      <w:r>
        <w:t>• Leviticus 6:25 - "Speak to Aaron and to his sons, saying, ‘This is the law of the sin offering: In the place where the burnt offering is killed, the sin offering shall be killed before the Lord. It is most holy.’"</w:t>
      </w:r>
    </w:p>
    <w:p w14:paraId="3D3DA24C" w14:textId="77777777" w:rsidR="00227ABF" w:rsidRDefault="00227ABF">
      <w:r>
        <w:t>• Leviticus 27:28 - "Nevertheless no devoted offering that a man devotes to the Lord of all that he has... shall be sold or redeemed; every devoted offering is most holy to the Lord."</w:t>
      </w:r>
    </w:p>
    <w:p w14:paraId="7CD66C87" w14:textId="77777777" w:rsidR="00227ABF" w:rsidRDefault="00227ABF"/>
    <w:p w14:paraId="4AC52BD0" w14:textId="77777777" w:rsidR="00227ABF" w:rsidRPr="00227ABF" w:rsidRDefault="00227ABF">
      <w:pPr>
        <w:rPr>
          <w:b/>
        </w:rPr>
      </w:pPr>
      <w:r w:rsidRPr="00227ABF">
        <w:rPr>
          <w:b/>
        </w:rPr>
        <w:t xml:space="preserve"> 7. Other Relevant Insights</w:t>
      </w:r>
    </w:p>
    <w:p w14:paraId="3782B01F" w14:textId="77777777" w:rsidR="00227ABF" w:rsidRDefault="00227ABF">
      <w:r>
        <w:t>In the New Testament, the concept of the "most holy" underwent a radical transformation. Believers are called hagioi (saints or holy ones), sharing in this set-apart status not through the application of physical oil, but through the anointing of the Holy Spirit and the blood of Jesus Christ. At the moment of Christ's death, the veil separating the Holy Place from the Most Holy Place in the temple was torn in two from top to bottom. This signaled that access to the ultimate qodesh qodashim—the immediate presence of God—is now open to all who are cleansed by the sacrifice of Christ.</w:t>
      </w:r>
    </w:p>
    <w:p w14:paraId="67A1AED8" w14:textId="77777777" w:rsidR="00227ABF" w:rsidRDefault="00227ABF"/>
    <w:p w14:paraId="4117BD86" w14:textId="77777777" w:rsidR="00227ABF" w:rsidRPr="00227ABF" w:rsidRDefault="00227ABF">
      <w:pPr>
        <w:rPr>
          <w:b/>
        </w:rPr>
      </w:pPr>
      <w:r w:rsidRPr="00227ABF">
        <w:rPr>
          <w:b/>
        </w:rPr>
        <w:t xml:space="preserve"> 8. References</w:t>
      </w:r>
    </w:p>
    <w:p w14:paraId="1F52D5EC" w14:textId="77777777" w:rsidR="00227ABF" w:rsidRDefault="00227ABF">
      <w:r>
        <w:t>• Brown, Francis, S.R. Driver, and Charles A. Briggs. Enhanced Brown-Driver-Briggs Hebrew and English Lexicon.</w:t>
      </w:r>
    </w:p>
    <w:p w14:paraId="49978510" w14:textId="77777777" w:rsidR="00227ABF" w:rsidRDefault="00227ABF">
      <w:r>
        <w:t>• Harris, R. Laird, Gleason L. Archer Jr., and Bruce K. Waltke. Theological Wordbook of the Old Testament.</w:t>
      </w:r>
    </w:p>
    <w:p w14:paraId="6E76D15F" w14:textId="77777777" w:rsidR="00227ABF" w:rsidRDefault="00227ABF">
      <w:r>
        <w:t>• Koehler, Ludwig, Walter Baumgartner, and M.E.J. Richardson. The Hebrew and Aramaic Lexicon of the Old Testament.</w:t>
      </w:r>
    </w:p>
    <w:p w14:paraId="4CA13CC8" w14:textId="5F4B18B4" w:rsidR="004C5552" w:rsidRDefault="00227ABF">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BF"/>
    <w:rsid w:val="00017747"/>
    <w:rsid w:val="00023A4A"/>
    <w:rsid w:val="0006763F"/>
    <w:rsid w:val="000C53AC"/>
    <w:rsid w:val="00146083"/>
    <w:rsid w:val="001B2D17"/>
    <w:rsid w:val="002058F7"/>
    <w:rsid w:val="00224809"/>
    <w:rsid w:val="00227ABF"/>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90FD"/>
  <w15:chartTrackingRefBased/>
  <w15:docId w15:val="{99F8CFD1-D108-48A0-8CE3-2E24E0AD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7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7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BF"/>
    <w:rPr>
      <w:rFonts w:eastAsiaTheme="majorEastAsia" w:cstheme="majorBidi"/>
      <w:color w:val="272727" w:themeColor="text1" w:themeTint="D8"/>
    </w:rPr>
  </w:style>
  <w:style w:type="paragraph" w:styleId="Title">
    <w:name w:val="Title"/>
    <w:basedOn w:val="Normal"/>
    <w:next w:val="Normal"/>
    <w:link w:val="TitleChar"/>
    <w:uiPriority w:val="10"/>
    <w:qFormat/>
    <w:rsid w:val="00227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BF"/>
    <w:pPr>
      <w:spacing w:before="160"/>
      <w:jc w:val="center"/>
    </w:pPr>
    <w:rPr>
      <w:i/>
      <w:iCs/>
      <w:color w:val="404040" w:themeColor="text1" w:themeTint="BF"/>
    </w:rPr>
  </w:style>
  <w:style w:type="character" w:customStyle="1" w:styleId="QuoteChar">
    <w:name w:val="Quote Char"/>
    <w:basedOn w:val="DefaultParagraphFont"/>
    <w:link w:val="Quote"/>
    <w:uiPriority w:val="29"/>
    <w:rsid w:val="00227ABF"/>
    <w:rPr>
      <w:i/>
      <w:iCs/>
      <w:color w:val="404040" w:themeColor="text1" w:themeTint="BF"/>
    </w:rPr>
  </w:style>
  <w:style w:type="paragraph" w:styleId="ListParagraph">
    <w:name w:val="List Paragraph"/>
    <w:basedOn w:val="Normal"/>
    <w:uiPriority w:val="34"/>
    <w:qFormat/>
    <w:rsid w:val="00227ABF"/>
    <w:pPr>
      <w:ind w:left="720"/>
      <w:contextualSpacing/>
    </w:pPr>
  </w:style>
  <w:style w:type="character" w:styleId="IntenseEmphasis">
    <w:name w:val="Intense Emphasis"/>
    <w:basedOn w:val="DefaultParagraphFont"/>
    <w:uiPriority w:val="21"/>
    <w:qFormat/>
    <w:rsid w:val="00227ABF"/>
    <w:rPr>
      <w:i/>
      <w:iCs/>
      <w:color w:val="2E74B5" w:themeColor="accent1" w:themeShade="BF"/>
    </w:rPr>
  </w:style>
  <w:style w:type="paragraph" w:styleId="IntenseQuote">
    <w:name w:val="Intense Quote"/>
    <w:basedOn w:val="Normal"/>
    <w:next w:val="Normal"/>
    <w:link w:val="IntenseQuoteChar"/>
    <w:uiPriority w:val="30"/>
    <w:qFormat/>
    <w:rsid w:val="00227A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7ABF"/>
    <w:rPr>
      <w:i/>
      <w:iCs/>
      <w:color w:val="2E74B5" w:themeColor="accent1" w:themeShade="BF"/>
    </w:rPr>
  </w:style>
  <w:style w:type="character" w:styleId="IntenseReference">
    <w:name w:val="Intense Reference"/>
    <w:basedOn w:val="DefaultParagraphFont"/>
    <w:uiPriority w:val="32"/>
    <w:qFormat/>
    <w:rsid w:val="00227A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