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91DF" w14:textId="77777777" w:rsidR="004B1BE2" w:rsidRPr="004B1BE2" w:rsidRDefault="004B1BE2">
      <w:pPr>
        <w:rPr>
          <w:b/>
        </w:rPr>
      </w:pPr>
      <w:r w:rsidRPr="004B1BE2">
        <w:rPr>
          <w:b/>
        </w:rPr>
        <w:t>MOLDING - ( zer , Strong's H2213 )</w:t>
      </w:r>
    </w:p>
    <w:p w14:paraId="0784864E" w14:textId="77777777" w:rsidR="004B1BE2" w:rsidRDefault="004B1BE2">
      <w:r w:rsidRPr="004B1BE2">
        <w:rPr>
          <w:b/>
        </w:rPr>
        <w:t>Summary:</w:t>
      </w:r>
    </w:p>
    <w:p w14:paraId="1870EA1A" w14:textId="77777777" w:rsidR="004B1BE2" w:rsidRDefault="004B1BE2">
      <w:r>
        <w:t>The Hebrew noun zer refers to a decorative gold molding, border, or rim that encircled the top edges of the most sacred furniture in the Tabernacle: the Ark of the Covenant, the Table of Showbread, and the Altar of Incense. Serving both functional and symbolic purposes, this crown-like molding prevented holy items from sliding off the sacred surfaces while visually signifying the royal dignity, majesty, and holiness of Yahweh's presence. In Exodus 30:3, the molding on the golden Altar of Incense frames the place of intercession, reminding God's people that the prayers offered to Him are precious, secure, and received by the King of Kings.</w:t>
      </w:r>
    </w:p>
    <w:p w14:paraId="0C590894" w14:textId="77777777" w:rsidR="004B1BE2" w:rsidRDefault="004B1BE2"/>
    <w:p w14:paraId="0B0DC925" w14:textId="77777777" w:rsidR="004B1BE2" w:rsidRDefault="004B1BE2">
      <w:r w:rsidRPr="004B1BE2">
        <w:rPr>
          <w:b/>
        </w:rPr>
        <w:t>Full Study:</w:t>
      </w:r>
    </w:p>
    <w:p w14:paraId="7847DF86" w14:textId="77777777" w:rsidR="004B1BE2" w:rsidRDefault="004B1BE2"/>
    <w:p w14:paraId="3DB26814" w14:textId="77777777" w:rsidR="004B1BE2" w:rsidRPr="004B1BE2" w:rsidRDefault="004B1BE2">
      <w:pPr>
        <w:rPr>
          <w:b/>
        </w:rPr>
      </w:pPr>
      <w:r w:rsidRPr="004B1BE2">
        <w:rPr>
          <w:b/>
        </w:rPr>
        <w:t xml:space="preserve"> 1. Word Picture / Background</w:t>
      </w:r>
    </w:p>
    <w:p w14:paraId="78C92E52" w14:textId="77777777" w:rsidR="004B1BE2" w:rsidRDefault="004B1BE2">
      <w:r>
        <w:t>The noun zer is derived from a root meaning to bind, encircle, or press together. It evokes the image of a wreath, chaplet, or miniature crown encircling an object. In the ancient Near East, decorative moldings on furniture served as status symbols, marking the items as belonging to royalty or divinity. The zer was not a wearable crown but an architectural border of pure gold that framed the top edges of the Tabernacle's holy vessels. It formed a protective barrier, combining aesthetic beauty with practical utility.</w:t>
      </w:r>
    </w:p>
    <w:p w14:paraId="631F352D" w14:textId="77777777" w:rsidR="004B1BE2" w:rsidRDefault="004B1BE2"/>
    <w:p w14:paraId="073B641E" w14:textId="77777777" w:rsidR="004B1BE2" w:rsidRPr="004B1BE2" w:rsidRDefault="004B1BE2">
      <w:pPr>
        <w:rPr>
          <w:b/>
        </w:rPr>
      </w:pPr>
      <w:r w:rsidRPr="004B1BE2">
        <w:rPr>
          <w:b/>
        </w:rPr>
        <w:t xml:space="preserve"> 2. Meaning / Lexical Definition</w:t>
      </w:r>
    </w:p>
    <w:p w14:paraId="1FA66946" w14:textId="77777777" w:rsidR="004B1BE2" w:rsidRDefault="004B1BE2">
      <w:r>
        <w:t>The term zer means a molding, border, rim, or ornamental band. It is used exclusively in the Old Testament to describe the gold trim on three specific pieces of Tabernacle furniture:</w:t>
      </w:r>
    </w:p>
    <w:p w14:paraId="733690EE" w14:textId="77777777" w:rsidR="004B1BE2" w:rsidRDefault="004B1BE2">
      <w:r>
        <w:t>• The Ark of the Covenant (Exodus 25:11)</w:t>
      </w:r>
    </w:p>
    <w:p w14:paraId="60D5FF75" w14:textId="77777777" w:rsidR="004B1BE2" w:rsidRDefault="004B1BE2">
      <w:r>
        <w:t>• The Table of Showbread (Exodus 25:24)</w:t>
      </w:r>
    </w:p>
    <w:p w14:paraId="4189E984" w14:textId="77777777" w:rsidR="004B1BE2" w:rsidRDefault="004B1BE2">
      <w:r>
        <w:t>• The Altar of Incense (Exodus 30:3)</w:t>
      </w:r>
    </w:p>
    <w:p w14:paraId="6A3BB6CC" w14:textId="77777777" w:rsidR="004B1BE2" w:rsidRDefault="004B1BE2"/>
    <w:p w14:paraId="36A2A3B9" w14:textId="77777777" w:rsidR="004B1BE2" w:rsidRDefault="004B1BE2">
      <w:r>
        <w:t xml:space="preserve">While older translations often render this word as "crown," modern lexicons clarify that it refers to a raised, decorative molding or border rather than a royal diadem. </w:t>
      </w:r>
    </w:p>
    <w:p w14:paraId="11FD932D" w14:textId="77777777" w:rsidR="004B1BE2" w:rsidRDefault="004B1BE2"/>
    <w:p w14:paraId="206693E3" w14:textId="77777777" w:rsidR="004B1BE2" w:rsidRPr="004B1BE2" w:rsidRDefault="004B1BE2">
      <w:pPr>
        <w:rPr>
          <w:b/>
        </w:rPr>
      </w:pPr>
      <w:r w:rsidRPr="004B1BE2">
        <w:rPr>
          <w:b/>
        </w:rPr>
        <w:t xml:space="preserve"> 3. Usage and Word Pictures</w:t>
      </w:r>
    </w:p>
    <w:p w14:paraId="43246C8F" w14:textId="77777777" w:rsidR="004B1BE2" w:rsidRDefault="004B1BE2">
      <w:r>
        <w:t>The biblical usage of zer paints a picture of boundaries and preservation. The molding served two primary purposes:</w:t>
      </w:r>
    </w:p>
    <w:p w14:paraId="251CE62D" w14:textId="77777777" w:rsidR="004B1BE2" w:rsidRDefault="004B1BE2">
      <w:r>
        <w:t>• Containment and Security: On a practical level, the zer acted as a raised lip. On the Table of Showbread, it kept the loaves from slipping off. On the Altar of Incense, it prevented holy coals and burning incense from sliding off the top when the altar was moved or when priests ministered.</w:t>
      </w:r>
    </w:p>
    <w:p w14:paraId="3DAD5806" w14:textId="77777777" w:rsidR="004B1BE2" w:rsidRDefault="004B1BE2">
      <w:r>
        <w:t>• Encirclement and Completion: As a border that went "all around" (Hebrew sabib), it symbolized complete protection and separation. It marked off the sacred surface of the furniture from the space around it, emphasizing that what was placed within the border was entirely set apart for God.</w:t>
      </w:r>
    </w:p>
    <w:p w14:paraId="0864EC14" w14:textId="77777777" w:rsidR="004B1BE2" w:rsidRDefault="004B1BE2"/>
    <w:p w14:paraId="728B77A4" w14:textId="77777777" w:rsidR="004B1BE2" w:rsidRPr="004B1BE2" w:rsidRDefault="004B1BE2">
      <w:pPr>
        <w:rPr>
          <w:b/>
        </w:rPr>
      </w:pPr>
      <w:r w:rsidRPr="004B1BE2">
        <w:rPr>
          <w:b/>
        </w:rPr>
        <w:t xml:space="preserve"> 4. Theological Implications</w:t>
      </w:r>
    </w:p>
    <w:p w14:paraId="2A8BED98" w14:textId="77777777" w:rsidR="004B1BE2" w:rsidRDefault="004B1BE2">
      <w:r>
        <w:t>The presence of the zer on the Tabernacle furniture carries rich theological significance:</w:t>
      </w:r>
    </w:p>
    <w:p w14:paraId="4231552E" w14:textId="77777777" w:rsidR="004B1BE2" w:rsidRDefault="004B1BE2">
      <w:r>
        <w:t>• The Royalty of Yahweh: Although the zer is a molding and not a wearable crown, its crown-like appearance and composition of pure gold constantly reminded Israel that the Tabernacle was the palace of their Great King. Every major piece of furniture in His presence was adorned with royal honors.</w:t>
      </w:r>
    </w:p>
    <w:p w14:paraId="4B16D46C" w14:textId="77777777" w:rsidR="004B1BE2" w:rsidRDefault="004B1BE2">
      <w:r>
        <w:t>• The Boundary of Holiness: Holiness requires order and distinctions. The molding established a clear boundary, demonstrating that worship must be conducted within the limits God prescribes.</w:t>
      </w:r>
    </w:p>
    <w:p w14:paraId="41D7E741" w14:textId="77777777" w:rsidR="004B1BE2" w:rsidRDefault="004B1BE2">
      <w:r>
        <w:t>• Divine Preservation: Just as the molding kept the incense and showbread secure, God keeps and preserves His covenant, His provisions, and the prayers of His saints.</w:t>
      </w:r>
    </w:p>
    <w:p w14:paraId="3AB5F161" w14:textId="77777777" w:rsidR="004B1BE2" w:rsidRDefault="004B1BE2"/>
    <w:p w14:paraId="3CC7401B" w14:textId="77777777" w:rsidR="004B1BE2" w:rsidRPr="004B1BE2" w:rsidRDefault="004B1BE2">
      <w:pPr>
        <w:rPr>
          <w:b/>
        </w:rPr>
      </w:pPr>
      <w:r w:rsidRPr="004B1BE2">
        <w:rPr>
          <w:b/>
        </w:rPr>
        <w:t xml:space="preserve"> 5. Contextual Nuance in the Passage</w:t>
      </w:r>
    </w:p>
    <w:p w14:paraId="095504FE" w14:textId="77777777" w:rsidR="004B1BE2" w:rsidRDefault="004B1BE2">
      <w:r>
        <w:t xml:space="preserve">In Exodus 30:3, the molding is crafted for the Altar of Incense, also known as the Golden Altar. This altar stood in the Holy Place, directly in front of the veil that separated it from the Holy of Holies. </w:t>
      </w:r>
    </w:p>
    <w:p w14:paraId="1C2B837D" w14:textId="77777777" w:rsidR="004B1BE2" w:rsidRDefault="004B1BE2">
      <w:r>
        <w:t>• The incense burned on this altar represents the prayers of God's people ascending to heaven.</w:t>
      </w:r>
    </w:p>
    <w:p w14:paraId="1BB49CCB" w14:textId="77777777" w:rsidR="004B1BE2" w:rsidRDefault="004B1BE2">
      <w:r>
        <w:t>• The golden molding around the top of this altar suggests that the prayers of the saints are framed in royal dignity. They are not scattered or lost; they are contained, protected, and highly valued by God.</w:t>
      </w:r>
    </w:p>
    <w:p w14:paraId="253ABF8B" w14:textId="77777777" w:rsidR="004B1BE2" w:rsidRDefault="004B1BE2">
      <w:r>
        <w:t>• Because the Altar of Incense was carried by poles during Israel’s wilderness journey, the molding ensured that the sacred surface remained secure and undamaged during transport, reflecting God’s care for the continuity of intercession.</w:t>
      </w:r>
    </w:p>
    <w:p w14:paraId="0F6717C6" w14:textId="77777777" w:rsidR="004B1BE2" w:rsidRDefault="004B1BE2"/>
    <w:p w14:paraId="6730E28C" w14:textId="77777777" w:rsidR="004B1BE2" w:rsidRPr="004B1BE2" w:rsidRDefault="004B1BE2">
      <w:pPr>
        <w:rPr>
          <w:b/>
        </w:rPr>
      </w:pPr>
      <w:r w:rsidRPr="004B1BE2">
        <w:rPr>
          <w:b/>
        </w:rPr>
        <w:t xml:space="preserve"> 6. Key Uses in Other Verses (NKJV)</w:t>
      </w:r>
    </w:p>
    <w:p w14:paraId="3A39FBBA" w14:textId="77777777" w:rsidR="004B1BE2" w:rsidRDefault="004B1BE2">
      <w:r>
        <w:t>• Exodus 25:11 - "And you shall overlay it with pure gold, inside and out you shall overlay it, and shall make for it a molding of gold all around."</w:t>
      </w:r>
    </w:p>
    <w:p w14:paraId="50A82A91" w14:textId="77777777" w:rsidR="004B1BE2" w:rsidRDefault="004B1BE2">
      <w:r>
        <w:t>• Exodus 25:24 - "And you shall overlay it with pure gold, and make a gold molding all around."</w:t>
      </w:r>
    </w:p>
    <w:p w14:paraId="68DBC152" w14:textId="77777777" w:rsidR="004B1BE2" w:rsidRDefault="004B1BE2">
      <w:r>
        <w:t>• Exodus 37:26 - "And he overlaid its top, its sides all around, and its horns with pure gold; and he made for it a molding of gold all around."</w:t>
      </w:r>
    </w:p>
    <w:p w14:paraId="45820CF9" w14:textId="77777777" w:rsidR="004B1BE2" w:rsidRDefault="004B1BE2"/>
    <w:p w14:paraId="75BEE339" w14:textId="77777777" w:rsidR="004B1BE2" w:rsidRPr="004B1BE2" w:rsidRDefault="004B1BE2">
      <w:pPr>
        <w:rPr>
          <w:b/>
        </w:rPr>
      </w:pPr>
      <w:r w:rsidRPr="004B1BE2">
        <w:rPr>
          <w:b/>
        </w:rPr>
        <w:t xml:space="preserve"> 7. Other Relevant Insights</w:t>
      </w:r>
    </w:p>
    <w:p w14:paraId="1EDA5F42" w14:textId="77777777" w:rsidR="004B1BE2" w:rsidRDefault="004B1BE2">
      <w:r>
        <w:t>A notable contrast exists between the furniture inside the Tabernacle tent and the furniture in the outer courtyard. The Bronze Altar (the Altar of Burnt Offering) located in the courtyard had no golden zer described in its instructions. The golden moldings were reserved exclusively for the three items inside the Holy Place and the Holy of Holies. This structural progression indicates that as one draws closer to the immediate presence of God, the displays of His royal majesty, beauty, and protective holiness become increasingly intricate and glorious.</w:t>
      </w:r>
    </w:p>
    <w:p w14:paraId="20267C60" w14:textId="77777777" w:rsidR="004B1BE2" w:rsidRDefault="004B1BE2"/>
    <w:p w14:paraId="25D03EAB" w14:textId="77777777" w:rsidR="004B1BE2" w:rsidRPr="004B1BE2" w:rsidRDefault="004B1BE2">
      <w:pPr>
        <w:rPr>
          <w:b/>
        </w:rPr>
      </w:pPr>
      <w:r w:rsidRPr="004B1BE2">
        <w:rPr>
          <w:b/>
        </w:rPr>
        <w:t xml:space="preserve"> 8. References</w:t>
      </w:r>
    </w:p>
    <w:p w14:paraId="3DC612BD" w14:textId="77777777" w:rsidR="004B1BE2" w:rsidRDefault="004B1BE2">
      <w:r>
        <w:t>• Brown, Driver, Briggs Hebrew and English Lexicon</w:t>
      </w:r>
    </w:p>
    <w:p w14:paraId="4184A5FD" w14:textId="77777777" w:rsidR="004B1BE2" w:rsidRDefault="004B1BE2">
      <w:r>
        <w:t>• Theological Wordbook of the Old Testament</w:t>
      </w:r>
    </w:p>
    <w:p w14:paraId="7EF341E2" w14:textId="77777777" w:rsidR="004B1BE2" w:rsidRDefault="004B1BE2">
      <w:r>
        <w:t>• Hebrew and Aramaic Lexicon of the Old Testament</w:t>
      </w:r>
    </w:p>
    <w:p w14:paraId="61E3A051" w14:textId="55338917" w:rsidR="004C5552" w:rsidRDefault="004B1BE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B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B1BE2"/>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A7D8"/>
  <w15:chartTrackingRefBased/>
  <w15:docId w15:val="{96B23199-87F9-4982-8C8C-465B9B671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1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1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BE2"/>
    <w:rPr>
      <w:rFonts w:eastAsiaTheme="majorEastAsia" w:cstheme="majorBidi"/>
      <w:color w:val="272727" w:themeColor="text1" w:themeTint="D8"/>
    </w:rPr>
  </w:style>
  <w:style w:type="paragraph" w:styleId="Title">
    <w:name w:val="Title"/>
    <w:basedOn w:val="Normal"/>
    <w:next w:val="Normal"/>
    <w:link w:val="TitleChar"/>
    <w:uiPriority w:val="10"/>
    <w:qFormat/>
    <w:rsid w:val="004B1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BE2"/>
    <w:pPr>
      <w:spacing w:before="160"/>
      <w:jc w:val="center"/>
    </w:pPr>
    <w:rPr>
      <w:i/>
      <w:iCs/>
      <w:color w:val="404040" w:themeColor="text1" w:themeTint="BF"/>
    </w:rPr>
  </w:style>
  <w:style w:type="character" w:customStyle="1" w:styleId="QuoteChar">
    <w:name w:val="Quote Char"/>
    <w:basedOn w:val="DefaultParagraphFont"/>
    <w:link w:val="Quote"/>
    <w:uiPriority w:val="29"/>
    <w:rsid w:val="004B1BE2"/>
    <w:rPr>
      <w:i/>
      <w:iCs/>
      <w:color w:val="404040" w:themeColor="text1" w:themeTint="BF"/>
    </w:rPr>
  </w:style>
  <w:style w:type="paragraph" w:styleId="ListParagraph">
    <w:name w:val="List Paragraph"/>
    <w:basedOn w:val="Normal"/>
    <w:uiPriority w:val="34"/>
    <w:qFormat/>
    <w:rsid w:val="004B1BE2"/>
    <w:pPr>
      <w:ind w:left="720"/>
      <w:contextualSpacing/>
    </w:pPr>
  </w:style>
  <w:style w:type="character" w:styleId="IntenseEmphasis">
    <w:name w:val="Intense Emphasis"/>
    <w:basedOn w:val="DefaultParagraphFont"/>
    <w:uiPriority w:val="21"/>
    <w:qFormat/>
    <w:rsid w:val="004B1BE2"/>
    <w:rPr>
      <w:i/>
      <w:iCs/>
      <w:color w:val="2E74B5" w:themeColor="accent1" w:themeShade="BF"/>
    </w:rPr>
  </w:style>
  <w:style w:type="paragraph" w:styleId="IntenseQuote">
    <w:name w:val="Intense Quote"/>
    <w:basedOn w:val="Normal"/>
    <w:next w:val="Normal"/>
    <w:link w:val="IntenseQuoteChar"/>
    <w:uiPriority w:val="30"/>
    <w:qFormat/>
    <w:rsid w:val="004B1B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1BE2"/>
    <w:rPr>
      <w:i/>
      <w:iCs/>
      <w:color w:val="2E74B5" w:themeColor="accent1" w:themeShade="BF"/>
    </w:rPr>
  </w:style>
  <w:style w:type="character" w:styleId="IntenseReference">
    <w:name w:val="Intense Reference"/>
    <w:basedOn w:val="DefaultParagraphFont"/>
    <w:uiPriority w:val="32"/>
    <w:qFormat/>
    <w:rsid w:val="004B1B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