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DF06" w14:textId="77777777" w:rsidR="00695B54" w:rsidRPr="00695B54" w:rsidRDefault="00695B54">
      <w:pPr>
        <w:rPr>
          <w:b/>
        </w:rPr>
      </w:pPr>
      <w:r w:rsidRPr="00695B54">
        <w:rPr>
          <w:b/>
        </w:rPr>
        <w:t>HOLY - ( qodesh, Strong's H6944 )</w:t>
      </w:r>
    </w:p>
    <w:p w14:paraId="3E35EB22" w14:textId="77777777" w:rsidR="00695B54" w:rsidRDefault="00695B54">
      <w:r w:rsidRPr="00695B54">
        <w:rPr>
          <w:b/>
        </w:rPr>
        <w:t>Summary:</w:t>
      </w:r>
    </w:p>
    <w:p w14:paraId="1418818B" w14:textId="77777777" w:rsidR="00695B54" w:rsidRDefault="00695B54">
      <w:r>
        <w:t>The Hebrew noun qodesh represents the state of holiness, sacredness, or being set apart. Rooted in the concept of cutting or separating, it denotes something consecrated exclusively for divine service and kept away from the common or profane. In Exodus 30:31, it characterizes the special anointing oil used in the tabernacle, illustrating how physical substances can be designated as sacred and reserved solely for God's glory.</w:t>
      </w:r>
    </w:p>
    <w:p w14:paraId="120086CC" w14:textId="77777777" w:rsidR="00695B54" w:rsidRDefault="00695B54"/>
    <w:p w14:paraId="694D66AC" w14:textId="77777777" w:rsidR="00695B54" w:rsidRDefault="00695B54">
      <w:r w:rsidRPr="00695B54">
        <w:rPr>
          <w:b/>
        </w:rPr>
        <w:t>Full Study:</w:t>
      </w:r>
    </w:p>
    <w:p w14:paraId="25E7F349" w14:textId="77777777" w:rsidR="00695B54" w:rsidRDefault="00695B54"/>
    <w:p w14:paraId="31CBE707" w14:textId="77777777" w:rsidR="00695B54" w:rsidRPr="00695B54" w:rsidRDefault="00695B54">
      <w:pPr>
        <w:rPr>
          <w:b/>
        </w:rPr>
      </w:pPr>
      <w:r w:rsidRPr="00695B54">
        <w:rPr>
          <w:b/>
        </w:rPr>
        <w:t>1. Word Picture / Background</w:t>
      </w:r>
    </w:p>
    <w:p w14:paraId="7AC45036" w14:textId="77777777" w:rsidR="00695B54" w:rsidRDefault="00695B54">
      <w:r>
        <w:t>• The root qdš historically connects to the idea of cutting, dividing, or setting a boundary. To declare something qodesh is to draw a line around it, separating it from ordinary, secular, or "common" (chol) life.</w:t>
      </w:r>
    </w:p>
    <w:p w14:paraId="5FE458EE" w14:textId="77777777" w:rsidR="00695B54" w:rsidRDefault="00695B54">
      <w:r>
        <w:t>• In the ancient Near East, sacred spaces and items were physically and socially cordoned off. The Old Testament tabernacle system absorbed and heightened this concept, demonstrating that God is transcendent and uniquely distinct from His creation.</w:t>
      </w:r>
    </w:p>
    <w:p w14:paraId="536C90DF" w14:textId="77777777" w:rsidR="00695B54" w:rsidRDefault="00695B54">
      <w:r>
        <w:t>• The historical word picture is of a marked territory or an object set aside for the exclusive use of royalty. Under the covenant, Yahweh is the King, and anything marked as qodesh belongs entirely to His royal domain.</w:t>
      </w:r>
    </w:p>
    <w:p w14:paraId="73923379" w14:textId="77777777" w:rsidR="00695B54" w:rsidRDefault="00695B54"/>
    <w:p w14:paraId="4AC06B07" w14:textId="77777777" w:rsidR="00695B54" w:rsidRPr="00695B54" w:rsidRDefault="00695B54">
      <w:pPr>
        <w:rPr>
          <w:b/>
        </w:rPr>
      </w:pPr>
      <w:r w:rsidRPr="00695B54">
        <w:rPr>
          <w:b/>
        </w:rPr>
        <w:t>2. Meaning / Lexical Definition</w:t>
      </w:r>
    </w:p>
    <w:p w14:paraId="025627C1" w14:textId="77777777" w:rsidR="00695B54" w:rsidRDefault="00695B54">
      <w:r>
        <w:t>• Qodesh is a masculine noun meaning "holiness," "sacredness," or "a holy thing." It appears more than 460 times in the Hebrew Bible.</w:t>
      </w:r>
    </w:p>
    <w:p w14:paraId="7E09E4FD" w14:textId="77777777" w:rsidR="00695B54" w:rsidRDefault="00695B54">
      <w:r>
        <w:t>• Unlike the adjective qadosh ("holy"), the noun qodesh emphasizes the quality or substance of holiness itself. When used in a construct chain (such as "oil of holiness"), it indicates that holiness is the defining characteristic of the object.</w:t>
      </w:r>
    </w:p>
    <w:p w14:paraId="43D20C85" w14:textId="77777777" w:rsidR="00695B54" w:rsidRDefault="00695B54">
      <w:r>
        <w:t>• The term refers to a state of consecration. Once an object, place, or person is declared qodesh, they are legally and spiritually transferred from the realm of the common to the realm of the divine.</w:t>
      </w:r>
    </w:p>
    <w:p w14:paraId="198CEE8D" w14:textId="77777777" w:rsidR="00695B54" w:rsidRDefault="00695B54"/>
    <w:p w14:paraId="2CA4DFE7" w14:textId="77777777" w:rsidR="00695B54" w:rsidRPr="00695B54" w:rsidRDefault="00695B54">
      <w:pPr>
        <w:rPr>
          <w:b/>
        </w:rPr>
      </w:pPr>
      <w:r w:rsidRPr="00695B54">
        <w:rPr>
          <w:b/>
        </w:rPr>
        <w:t>3. Usage and Word Pictures</w:t>
      </w:r>
    </w:p>
    <w:p w14:paraId="2CC985ED" w14:textId="77777777" w:rsidR="00695B54" w:rsidRDefault="00695B54">
      <w:r>
        <w:t>• The term is applied extensively to the tabernacle architecture, dividing it into the Holy Place (qodesh) and the Most Holy Place (qodesh ha-qodashim).</w:t>
      </w:r>
    </w:p>
    <w:p w14:paraId="4643F210" w14:textId="77777777" w:rsidR="00695B54" w:rsidRDefault="00695B54">
      <w:r>
        <w:t>• It describes priestly clothing, such as Aaron's "holy garments" (Exodus 28:2), which were designed to reflect the beauty and dignity of God's presence.</w:t>
      </w:r>
    </w:p>
    <w:p w14:paraId="1701125A" w14:textId="77777777" w:rsidR="00695B54" w:rsidRDefault="00695B54">
      <w:r>
        <w:t>• It designates sacred times, such as the Sabbath and covenant feasts, as holy convocations—islands of sacred time in a sea of ordinary workweeks.</w:t>
      </w:r>
    </w:p>
    <w:p w14:paraId="6CCA0366" w14:textId="77777777" w:rsidR="00695B54" w:rsidRDefault="00695B54">
      <w:r>
        <w:t>• Food and offerings brought to the altar are termed qodesh, meaning they could only be consumed by the priests under specific, clean conditions.</w:t>
      </w:r>
    </w:p>
    <w:p w14:paraId="72EF96C1" w14:textId="77777777" w:rsidR="00695B54" w:rsidRDefault="00695B54"/>
    <w:p w14:paraId="3C61954F" w14:textId="77777777" w:rsidR="00695B54" w:rsidRPr="00695B54" w:rsidRDefault="00695B54">
      <w:pPr>
        <w:rPr>
          <w:b/>
        </w:rPr>
      </w:pPr>
      <w:r w:rsidRPr="00695B54">
        <w:rPr>
          <w:b/>
        </w:rPr>
        <w:t>4. Theological Implications</w:t>
      </w:r>
    </w:p>
    <w:p w14:paraId="1C845AA9" w14:textId="77777777" w:rsidR="00695B54" w:rsidRDefault="00695B54">
      <w:r>
        <w:t>• Holiness is not an inherent quality of physical matter; it is a derived status. Physical objects like oil, gold, or fabric only become qodesh because of their association with Yahweh, who is the ultimate source of holiness.</w:t>
      </w:r>
    </w:p>
    <w:p w14:paraId="5F85CA1C" w14:textId="77777777" w:rsidR="00695B54" w:rsidRDefault="00695B54">
      <w:r>
        <w:t>• Because God is absolutely pure and separate from sin, that which is associated with Him must be treated with reverence. Approaching the holy God with a casual or profane attitude breaches this boundary and invites divine judgment.</w:t>
      </w:r>
    </w:p>
    <w:p w14:paraId="66B77EE6" w14:textId="77777777" w:rsidR="00695B54" w:rsidRDefault="00695B54">
      <w:r>
        <w:t>• The division between the holy and the profane serves as a physical, pedagogical tool to teach Israel the necessity of moral and spiritual distinction in their daily lives.</w:t>
      </w:r>
    </w:p>
    <w:p w14:paraId="23A93580" w14:textId="77777777" w:rsidR="00695B54" w:rsidRDefault="00695B54"/>
    <w:p w14:paraId="2B0E4121" w14:textId="77777777" w:rsidR="00695B54" w:rsidRPr="00695B54" w:rsidRDefault="00695B54">
      <w:pPr>
        <w:rPr>
          <w:b/>
        </w:rPr>
      </w:pPr>
      <w:r w:rsidRPr="00695B54">
        <w:rPr>
          <w:b/>
        </w:rPr>
        <w:t>5. Contextual Nuance in the Passage</w:t>
      </w:r>
    </w:p>
    <w:p w14:paraId="63C60ECB" w14:textId="77777777" w:rsidR="00695B54" w:rsidRDefault="00695B54">
      <w:r>
        <w:t>• In Exodus 30:31, qodesh modifies the anointing oil (shemen mishchat-qodesh, literally "oil of anointing of holiness").</w:t>
      </w:r>
    </w:p>
    <w:p w14:paraId="07933A83" w14:textId="77777777" w:rsidR="00695B54" w:rsidRDefault="00695B54">
      <w:r>
        <w:t>• This oil was uniquely formulated with precious spices and olive oil. Its sacredness was protected by strict prohibitions: it could not be duplicated for personal use, nor could it be poured on an ordinary person.</w:t>
      </w:r>
    </w:p>
    <w:p w14:paraId="7D9A554A" w14:textId="77777777" w:rsidR="00695B54" w:rsidRDefault="00695B54">
      <w:r>
        <w:t>• The oil functioned as the agent of consecration. When applied to the tabernacle vessels and the priests, it transferred the status of qodesh to them, preparing them for sacred service. To profane this oil was to treat God Himself as common.</w:t>
      </w:r>
    </w:p>
    <w:p w14:paraId="7FB81AB4" w14:textId="77777777" w:rsidR="00695B54" w:rsidRDefault="00695B54"/>
    <w:p w14:paraId="01630C47" w14:textId="77777777" w:rsidR="00695B54" w:rsidRPr="00695B54" w:rsidRDefault="00695B54">
      <w:pPr>
        <w:rPr>
          <w:b/>
        </w:rPr>
      </w:pPr>
      <w:r w:rsidRPr="00695B54">
        <w:rPr>
          <w:b/>
        </w:rPr>
        <w:t>6. Key Uses in Other Verses (NKJV)</w:t>
      </w:r>
    </w:p>
    <w:p w14:paraId="1EB0883E" w14:textId="77777777" w:rsidR="00695B54" w:rsidRDefault="00695B54">
      <w:r>
        <w:t>• Exodus 28:2 - "And you shall make holy (qodesh) garments for Aaron your brother, for glory and for beauty."</w:t>
      </w:r>
    </w:p>
    <w:p w14:paraId="1CE0273B" w14:textId="77777777" w:rsidR="00695B54" w:rsidRDefault="00695B54">
      <w:r>
        <w:t>• Leviticus 23:3 - "Six days shall work be done, but the seventh day is a Sabbath of solemn rest, a holy (qodesh) convocation."</w:t>
      </w:r>
    </w:p>
    <w:p w14:paraId="26CDFF55" w14:textId="77777777" w:rsidR="00695B54" w:rsidRDefault="00695B54">
      <w:r>
        <w:t>• Psalm 29:2 - "Give unto the LORD the glory due to His name; Worship the LORD in the beauty of holiness (qodesh)."</w:t>
      </w:r>
    </w:p>
    <w:p w14:paraId="08BEB2D0" w14:textId="77777777" w:rsidR="00695B54" w:rsidRDefault="00695B54">
      <w:r>
        <w:t>• Isaiah 35:8 - "A highway shall be there, and a road, And it shall be called the Highway of Holiness (qodesh)."</w:t>
      </w:r>
    </w:p>
    <w:p w14:paraId="6FCC525E" w14:textId="77777777" w:rsidR="00695B54" w:rsidRDefault="00695B54"/>
    <w:p w14:paraId="4323BCCC" w14:textId="77777777" w:rsidR="00695B54" w:rsidRPr="00695B54" w:rsidRDefault="00695B54">
      <w:pPr>
        <w:rPr>
          <w:b/>
        </w:rPr>
      </w:pPr>
      <w:r w:rsidRPr="00695B54">
        <w:rPr>
          <w:b/>
        </w:rPr>
        <w:t>7. Other Relevant Insights</w:t>
      </w:r>
    </w:p>
    <w:p w14:paraId="0C81A8B5" w14:textId="77777777" w:rsidR="00695B54" w:rsidRDefault="00695B54">
      <w:r>
        <w:t>• In the New Covenant, the locus of holiness shifts from physical elements (like the anointing oil or tabernacle furniture) to the believer's life. Believers are anointed by the Holy Spirit (1 John 2:20) and are called "holy" (saints, hagioi).</w:t>
      </w:r>
    </w:p>
    <w:p w14:paraId="79C2DB64" w14:textId="77777777" w:rsidR="00695B54" w:rsidRDefault="00695B54">
      <w:r>
        <w:t>• The warning in Exodus against copying or misusing the holy anointing oil serves as a modern warning against treating the Holy Spirit's work as a commodity or using spiritual gifts for personal fame and commercial gain.</w:t>
      </w:r>
    </w:p>
    <w:p w14:paraId="766391F2" w14:textId="77777777" w:rsidR="00695B54" w:rsidRDefault="00695B54"/>
    <w:p w14:paraId="7099859B" w14:textId="77777777" w:rsidR="00695B54" w:rsidRPr="00695B54" w:rsidRDefault="00695B54">
      <w:pPr>
        <w:rPr>
          <w:b/>
        </w:rPr>
      </w:pPr>
      <w:r w:rsidRPr="00695B54">
        <w:rPr>
          <w:b/>
        </w:rPr>
        <w:t>8. References</w:t>
      </w:r>
    </w:p>
    <w:p w14:paraId="521318BF" w14:textId="77777777" w:rsidR="00695B54" w:rsidRDefault="00695B54">
      <w:r>
        <w:t>• Brown, Driver, Briggs Hebrew and English Lexicon</w:t>
      </w:r>
    </w:p>
    <w:p w14:paraId="165BC702" w14:textId="77777777" w:rsidR="00695B54" w:rsidRDefault="00695B54">
      <w:r>
        <w:t>• Hebrew and Aramaic Lexicon of the Old Testament</w:t>
      </w:r>
    </w:p>
    <w:p w14:paraId="2A6CD649" w14:textId="77777777" w:rsidR="00695B54" w:rsidRDefault="00695B54">
      <w:r>
        <w:t>• Theological Wordbook of the Old Testament</w:t>
      </w:r>
    </w:p>
    <w:p w14:paraId="4B026790" w14:textId="77777777" w:rsidR="00695B54" w:rsidRDefault="00695B54">
      <w:r>
        <w:t>• New International Dictionary of Old Testament Theology and Exegesis</w:t>
      </w:r>
    </w:p>
    <w:p w14:paraId="5D2F3311" w14:textId="364BE3F1" w:rsidR="004C5552" w:rsidRDefault="00695B5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B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95B54"/>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3123"/>
  <w15:chartTrackingRefBased/>
  <w15:docId w15:val="{018C9BCF-D1B6-40EB-B60F-5D38983F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5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5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B54"/>
    <w:rPr>
      <w:rFonts w:eastAsiaTheme="majorEastAsia" w:cstheme="majorBidi"/>
      <w:color w:val="272727" w:themeColor="text1" w:themeTint="D8"/>
    </w:rPr>
  </w:style>
  <w:style w:type="paragraph" w:styleId="Title">
    <w:name w:val="Title"/>
    <w:basedOn w:val="Normal"/>
    <w:next w:val="Normal"/>
    <w:link w:val="TitleChar"/>
    <w:uiPriority w:val="10"/>
    <w:qFormat/>
    <w:rsid w:val="00695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B54"/>
    <w:pPr>
      <w:spacing w:before="160"/>
      <w:jc w:val="center"/>
    </w:pPr>
    <w:rPr>
      <w:i/>
      <w:iCs/>
      <w:color w:val="404040" w:themeColor="text1" w:themeTint="BF"/>
    </w:rPr>
  </w:style>
  <w:style w:type="character" w:customStyle="1" w:styleId="QuoteChar">
    <w:name w:val="Quote Char"/>
    <w:basedOn w:val="DefaultParagraphFont"/>
    <w:link w:val="Quote"/>
    <w:uiPriority w:val="29"/>
    <w:rsid w:val="00695B54"/>
    <w:rPr>
      <w:i/>
      <w:iCs/>
      <w:color w:val="404040" w:themeColor="text1" w:themeTint="BF"/>
    </w:rPr>
  </w:style>
  <w:style w:type="paragraph" w:styleId="ListParagraph">
    <w:name w:val="List Paragraph"/>
    <w:basedOn w:val="Normal"/>
    <w:uiPriority w:val="34"/>
    <w:qFormat/>
    <w:rsid w:val="00695B54"/>
    <w:pPr>
      <w:ind w:left="720"/>
      <w:contextualSpacing/>
    </w:pPr>
  </w:style>
  <w:style w:type="character" w:styleId="IntenseEmphasis">
    <w:name w:val="Intense Emphasis"/>
    <w:basedOn w:val="DefaultParagraphFont"/>
    <w:uiPriority w:val="21"/>
    <w:qFormat/>
    <w:rsid w:val="00695B54"/>
    <w:rPr>
      <w:i/>
      <w:iCs/>
      <w:color w:val="2E74B5" w:themeColor="accent1" w:themeShade="BF"/>
    </w:rPr>
  </w:style>
  <w:style w:type="paragraph" w:styleId="IntenseQuote">
    <w:name w:val="Intense Quote"/>
    <w:basedOn w:val="Normal"/>
    <w:next w:val="Normal"/>
    <w:link w:val="IntenseQuoteChar"/>
    <w:uiPriority w:val="30"/>
    <w:qFormat/>
    <w:rsid w:val="00695B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5B54"/>
    <w:rPr>
      <w:i/>
      <w:iCs/>
      <w:color w:val="2E74B5" w:themeColor="accent1" w:themeShade="BF"/>
    </w:rPr>
  </w:style>
  <w:style w:type="character" w:styleId="IntenseReference">
    <w:name w:val="Intense Reference"/>
    <w:basedOn w:val="DefaultParagraphFont"/>
    <w:uiPriority w:val="32"/>
    <w:qFormat/>
    <w:rsid w:val="00695B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