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4EEB" w14:textId="77777777" w:rsidR="007153F9" w:rsidRPr="007153F9" w:rsidRDefault="007153F9">
      <w:pPr>
        <w:rPr>
          <w:b/>
        </w:rPr>
      </w:pPr>
      <w:r w:rsidRPr="007153F9">
        <w:rPr>
          <w:b/>
        </w:rPr>
        <w:t>FLESH - ( basar , Strong's H1320 )</w:t>
      </w:r>
    </w:p>
    <w:p w14:paraId="0B3D81EE" w14:textId="77777777" w:rsidR="007153F9" w:rsidRDefault="007153F9">
      <w:r w:rsidRPr="007153F9">
        <w:rPr>
          <w:b/>
        </w:rPr>
        <w:t>Summary:</w:t>
      </w:r>
    </w:p>
    <w:p w14:paraId="1FE546B7" w14:textId="77777777" w:rsidR="007153F9" w:rsidRDefault="007153F9">
      <w:r>
        <w:t>In the Old Testament, the Hebrew word basar refers to the physical body of a human or animal, denoting its tangible substance, mortality, and inherent weakness in contrast to the eternal spirit of God. In Exodus 30:32, the term is used in the prohibition against pouring the sacred anointing oil upon "man's flesh." This restriction establishes a clear boundary between the holy sphere of God’s service and the common, unsanctified state of ordinary human existence, reminding the covenant community that God's holiness must not be treated with casual familiarity or adapted for natural, secular purposes.</w:t>
      </w:r>
    </w:p>
    <w:p w14:paraId="77BD39EA" w14:textId="77777777" w:rsidR="007153F9" w:rsidRDefault="007153F9"/>
    <w:p w14:paraId="591735A0" w14:textId="77777777" w:rsidR="007153F9" w:rsidRDefault="007153F9">
      <w:r w:rsidRPr="007153F9">
        <w:rPr>
          <w:b/>
        </w:rPr>
        <w:t>Full Study:</w:t>
      </w:r>
    </w:p>
    <w:p w14:paraId="1101651A" w14:textId="77777777" w:rsidR="007153F9" w:rsidRDefault="007153F9"/>
    <w:p w14:paraId="2425CC43" w14:textId="77777777" w:rsidR="007153F9" w:rsidRPr="007153F9" w:rsidRDefault="007153F9">
      <w:pPr>
        <w:rPr>
          <w:b/>
        </w:rPr>
      </w:pPr>
      <w:r w:rsidRPr="007153F9">
        <w:rPr>
          <w:b/>
        </w:rPr>
        <w:t>1. Word Picture / Background</w:t>
      </w:r>
    </w:p>
    <w:p w14:paraId="11187BCD" w14:textId="77777777" w:rsidR="007153F9" w:rsidRDefault="007153F9">
      <w:r>
        <w:t xml:space="preserve">The Hebrew noun basar refers to the physical substance of a living creature, specifically the skin and underlying tissue covering the skeletal frame. In the Old Testament, the term is ethically neutral, differing from the frequent New Testament use of the Greek word sarx to represent the sinful nature. Instead, basar emphasizes physical weakness, creaturely mortality, and outward, visible humanity. It represents the soft, vulnerable aspect of human existence in contrast to the enduring power and spirit of God. </w:t>
      </w:r>
    </w:p>
    <w:p w14:paraId="30D7E2D4" w14:textId="77777777" w:rsidR="007153F9" w:rsidRDefault="007153F9"/>
    <w:p w14:paraId="71C18BC8" w14:textId="77777777" w:rsidR="007153F9" w:rsidRPr="007153F9" w:rsidRDefault="007153F9">
      <w:pPr>
        <w:rPr>
          <w:b/>
        </w:rPr>
      </w:pPr>
      <w:r w:rsidRPr="007153F9">
        <w:rPr>
          <w:b/>
        </w:rPr>
        <w:t>2. Meaning / Lexical Definition</w:t>
      </w:r>
    </w:p>
    <w:p w14:paraId="21F78722" w14:textId="77777777" w:rsidR="007153F9" w:rsidRDefault="007153F9">
      <w:r>
        <w:t>The word basar means the muscle and fat tissue of human or animal bodies, the whole physical body, or humanity as a collective whole. The lexical range includes several primary nuances:</w:t>
      </w:r>
    </w:p>
    <w:p w14:paraId="39674211" w14:textId="77777777" w:rsidR="007153F9" w:rsidRDefault="007153F9">
      <w:r>
        <w:t>• The literal physical body or skin of a person or animal.</w:t>
      </w:r>
    </w:p>
    <w:p w14:paraId="5D2322E9" w14:textId="77777777" w:rsidR="007153F9" w:rsidRDefault="007153F9">
      <w:r>
        <w:t>• The wider human race, often rendered as "all flesh."</w:t>
      </w:r>
    </w:p>
    <w:p w14:paraId="02F35932" w14:textId="77777777" w:rsidR="007153F9" w:rsidRDefault="007153F9">
      <w:r>
        <w:t>• Blood relations or family kindred, expressed as being of the same "flesh."</w:t>
      </w:r>
    </w:p>
    <w:p w14:paraId="503102A4" w14:textId="77777777" w:rsidR="007153F9" w:rsidRDefault="007153F9">
      <w:r>
        <w:t>• The physical weakness of mortals in contrast to the divine.</w:t>
      </w:r>
    </w:p>
    <w:p w14:paraId="5A9C161D" w14:textId="77777777" w:rsidR="007153F9" w:rsidRDefault="007153F9">
      <w:r>
        <w:t>In Exodus 30:32, the word refers specifically to the physical body of a common, unauthorized human being.</w:t>
      </w:r>
    </w:p>
    <w:p w14:paraId="4971DA76" w14:textId="77777777" w:rsidR="007153F9" w:rsidRDefault="007153F9"/>
    <w:p w14:paraId="59869D4A" w14:textId="77777777" w:rsidR="007153F9" w:rsidRPr="007153F9" w:rsidRDefault="007153F9">
      <w:pPr>
        <w:rPr>
          <w:b/>
        </w:rPr>
      </w:pPr>
      <w:r w:rsidRPr="007153F9">
        <w:rPr>
          <w:b/>
        </w:rPr>
        <w:t>3. Usage and Word Pictures</w:t>
      </w:r>
    </w:p>
    <w:p w14:paraId="52CCA095" w14:textId="77777777" w:rsidR="007153F9" w:rsidRDefault="007153F9">
      <w:r>
        <w:t>• Physical Substance: It describes literal meat eaten as food or the physical skin of a body (Genesis 41:2; Exodus 12:8).</w:t>
      </w:r>
    </w:p>
    <w:p w14:paraId="63513507" w14:textId="77777777" w:rsidR="007153F9" w:rsidRDefault="007153F9">
      <w:r>
        <w:t>• The Entire Person: The word acts as a synecdoche for the whole person, highlighting physical existence and the natural life (Psalm 16:9).</w:t>
      </w:r>
    </w:p>
    <w:p w14:paraId="7CF860B0" w14:textId="77777777" w:rsidR="007153F9" w:rsidRDefault="007153F9">
      <w:r>
        <w:t>• Fragility and Transience: It depicts human weakness and the temporary nature of mortal life when compared to God's eternal strength (Isaiah 40:6).</w:t>
      </w:r>
    </w:p>
    <w:p w14:paraId="507A26CC" w14:textId="77777777" w:rsidR="007153F9" w:rsidRDefault="007153F9">
      <w:r>
        <w:t>• Kinship and Covenant Union: It expresses close familial ties and the marital bond, representing shared physical lineage and destiny (Genesis 2:24; Genesis 37:27).</w:t>
      </w:r>
    </w:p>
    <w:p w14:paraId="263BD504" w14:textId="77777777" w:rsidR="007153F9" w:rsidRDefault="007153F9"/>
    <w:p w14:paraId="0911A0E4" w14:textId="77777777" w:rsidR="007153F9" w:rsidRPr="007153F9" w:rsidRDefault="007153F9">
      <w:pPr>
        <w:rPr>
          <w:b/>
        </w:rPr>
      </w:pPr>
      <w:r w:rsidRPr="007153F9">
        <w:rPr>
          <w:b/>
        </w:rPr>
        <w:t>4. Theological Implications</w:t>
      </w:r>
    </w:p>
    <w:p w14:paraId="2838589F" w14:textId="77777777" w:rsidR="007153F9" w:rsidRDefault="007153F9">
      <w:r>
        <w:t xml:space="preserve">In Old Testament theology, basar highlights the vast difference between the Creator and the creature. God is spirit; humanity is flesh. Flesh is weak, finite, and dependent. When applied to the sanctuary laws, the prohibition against pouring the holy anointing oil on "man's flesh" underscores that the sacred sphere of God’s presence and service must not be cheapened, secularized, or accessed by raw human power. The natural, unsanctified state of humanity cannot inherit or handle the holy things of God without a mediator and divine consecration. </w:t>
      </w:r>
    </w:p>
    <w:p w14:paraId="392132C1" w14:textId="77777777" w:rsidR="007153F9" w:rsidRDefault="007153F9"/>
    <w:p w14:paraId="573D1952" w14:textId="77777777" w:rsidR="007153F9" w:rsidRPr="007153F9" w:rsidRDefault="007153F9">
      <w:pPr>
        <w:rPr>
          <w:b/>
        </w:rPr>
      </w:pPr>
      <w:r w:rsidRPr="007153F9">
        <w:rPr>
          <w:b/>
        </w:rPr>
        <w:t>5. Contextual Nuance in the Passage</w:t>
      </w:r>
    </w:p>
    <w:p w14:paraId="1225724A" w14:textId="77777777" w:rsidR="007153F9" w:rsidRDefault="007153F9">
      <w:r>
        <w:t>In Exodus 30:32, God provides the recipe for the sacred anointing oil, warning that it must not be poured on "man's flesh" (al-beśar ’adam). This restricts its use exclusively to the tabernacle vessels and the designated Aaronic priests. To put this oil on the physical body of an ordinary Israelite would profane its holiness. This command establishes a sharp boundary between the holy (set apart for God) and the common (the ordinary physical life of the community). It serves as a visual and tactile lesson in the absolute holiness of God, showing that divine anointing is a sovereign gift for service, not a cosmetic luxury for the natural man.</w:t>
      </w:r>
    </w:p>
    <w:p w14:paraId="6DD578E2" w14:textId="77777777" w:rsidR="007153F9" w:rsidRDefault="007153F9"/>
    <w:p w14:paraId="4D4F2B34" w14:textId="77777777" w:rsidR="007153F9" w:rsidRPr="007153F9" w:rsidRDefault="007153F9">
      <w:pPr>
        <w:rPr>
          <w:b/>
        </w:rPr>
      </w:pPr>
      <w:r w:rsidRPr="007153F9">
        <w:rPr>
          <w:b/>
        </w:rPr>
        <w:t>6. Key Uses in Other Verses (NKJV)</w:t>
      </w:r>
    </w:p>
    <w:p w14:paraId="3F40F394" w14:textId="77777777" w:rsidR="007153F9" w:rsidRDefault="007153F9">
      <w:r>
        <w:t>• Genesis 2:24: "Therefore a man shall leave his father and mother and be joined to his wife, and they shall become one flesh."</w:t>
      </w:r>
    </w:p>
    <w:p w14:paraId="4ECB1560" w14:textId="77777777" w:rsidR="007153F9" w:rsidRDefault="007153F9">
      <w:r>
        <w:t>• Genesis 6:12: "So God looked upon the earth, and indeed it was corrupt; for all flesh had corrupted their way on the earth."</w:t>
      </w:r>
    </w:p>
    <w:p w14:paraId="782B4D28" w14:textId="77777777" w:rsidR="007153F9" w:rsidRDefault="007153F9">
      <w:r>
        <w:t>• Job 19:26: "And after my skin is destroyed, this I know, that in my flesh I shall see God."</w:t>
      </w:r>
    </w:p>
    <w:p w14:paraId="611BCB02" w14:textId="77777777" w:rsidR="007153F9" w:rsidRDefault="007153F9">
      <w:r>
        <w:t>• Isaiah 40:6: "The voice said, 'Cry out!' And he said, 'What shall I cry?' 'All flesh is grass, and all its loveliness is like the flower of the field.'"</w:t>
      </w:r>
    </w:p>
    <w:p w14:paraId="1DEADE92" w14:textId="77777777" w:rsidR="007153F9" w:rsidRDefault="007153F9"/>
    <w:p w14:paraId="2063A6B2" w14:textId="77777777" w:rsidR="007153F9" w:rsidRPr="007153F9" w:rsidRDefault="007153F9">
      <w:pPr>
        <w:rPr>
          <w:b/>
        </w:rPr>
      </w:pPr>
      <w:r w:rsidRPr="007153F9">
        <w:rPr>
          <w:b/>
        </w:rPr>
        <w:t>7. Other Relevant Insights</w:t>
      </w:r>
    </w:p>
    <w:p w14:paraId="76A2CB47" w14:textId="77777777" w:rsidR="007153F9" w:rsidRDefault="007153F9">
      <w:r>
        <w:t>For the Christian teacher or pastor, this prohibition speaks powerfully to the danger of carnal substitution. Just as the holy oil—a frequent biblical symbol of the Holy Spirit—was not to be poured on the natural "flesh" of unauthorized men, so the work of the Holy Spirit cannot be simulated by natural human charisma, intellect, or worldly methods. True spiritual power and service must proceed from God's sovereign appointment and sanctification, not from the natural resources of human "flesh."</w:t>
      </w:r>
    </w:p>
    <w:p w14:paraId="3EBD1895" w14:textId="77777777" w:rsidR="007153F9" w:rsidRDefault="007153F9"/>
    <w:p w14:paraId="742214E9" w14:textId="77777777" w:rsidR="007153F9" w:rsidRPr="007153F9" w:rsidRDefault="007153F9">
      <w:pPr>
        <w:rPr>
          <w:b/>
        </w:rPr>
      </w:pPr>
      <w:r w:rsidRPr="007153F9">
        <w:rPr>
          <w:b/>
        </w:rPr>
        <w:t>8. References</w:t>
      </w:r>
    </w:p>
    <w:p w14:paraId="5A729C9D" w14:textId="77777777" w:rsidR="007153F9" w:rsidRDefault="007153F9">
      <w:r>
        <w:t>• Enhanced Brown-Driver-Briggs Hebrew and English Lexicon</w:t>
      </w:r>
    </w:p>
    <w:p w14:paraId="2930DB62" w14:textId="77777777" w:rsidR="007153F9" w:rsidRDefault="007153F9">
      <w:r>
        <w:t>• The Hebrew and Aramaic Lexicon of the Old Testament</w:t>
      </w:r>
    </w:p>
    <w:p w14:paraId="54A58515" w14:textId="77777777" w:rsidR="007153F9" w:rsidRDefault="007153F9">
      <w:r>
        <w:t>• Theological Wordbook of the Old Testament</w:t>
      </w:r>
    </w:p>
    <w:p w14:paraId="32FA8842" w14:textId="77777777" w:rsidR="007153F9" w:rsidRDefault="007153F9">
      <w:r>
        <w:t>• New International Dictionary of Old Testament Theology and Exegesis</w:t>
      </w:r>
    </w:p>
    <w:p w14:paraId="36E586E8" w14:textId="504A2A76" w:rsidR="004C5552" w:rsidRDefault="007153F9">
      <w:r>
        <w:t>•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53F9"/>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46E6"/>
  <w15:chartTrackingRefBased/>
  <w15:docId w15:val="{3D2B4F69-A3FC-4BB7-991B-9E11C3D6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5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5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F9"/>
    <w:rPr>
      <w:rFonts w:eastAsiaTheme="majorEastAsia" w:cstheme="majorBidi"/>
      <w:color w:val="272727" w:themeColor="text1" w:themeTint="D8"/>
    </w:rPr>
  </w:style>
  <w:style w:type="paragraph" w:styleId="Title">
    <w:name w:val="Title"/>
    <w:basedOn w:val="Normal"/>
    <w:next w:val="Normal"/>
    <w:link w:val="TitleChar"/>
    <w:uiPriority w:val="10"/>
    <w:qFormat/>
    <w:rsid w:val="00715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F9"/>
    <w:pPr>
      <w:spacing w:before="160"/>
      <w:jc w:val="center"/>
    </w:pPr>
    <w:rPr>
      <w:i/>
      <w:iCs/>
      <w:color w:val="404040" w:themeColor="text1" w:themeTint="BF"/>
    </w:rPr>
  </w:style>
  <w:style w:type="character" w:customStyle="1" w:styleId="QuoteChar">
    <w:name w:val="Quote Char"/>
    <w:basedOn w:val="DefaultParagraphFont"/>
    <w:link w:val="Quote"/>
    <w:uiPriority w:val="29"/>
    <w:rsid w:val="007153F9"/>
    <w:rPr>
      <w:i/>
      <w:iCs/>
      <w:color w:val="404040" w:themeColor="text1" w:themeTint="BF"/>
    </w:rPr>
  </w:style>
  <w:style w:type="paragraph" w:styleId="ListParagraph">
    <w:name w:val="List Paragraph"/>
    <w:basedOn w:val="Normal"/>
    <w:uiPriority w:val="34"/>
    <w:qFormat/>
    <w:rsid w:val="007153F9"/>
    <w:pPr>
      <w:ind w:left="720"/>
      <w:contextualSpacing/>
    </w:pPr>
  </w:style>
  <w:style w:type="character" w:styleId="IntenseEmphasis">
    <w:name w:val="Intense Emphasis"/>
    <w:basedOn w:val="DefaultParagraphFont"/>
    <w:uiPriority w:val="21"/>
    <w:qFormat/>
    <w:rsid w:val="007153F9"/>
    <w:rPr>
      <w:i/>
      <w:iCs/>
      <w:color w:val="2E74B5" w:themeColor="accent1" w:themeShade="BF"/>
    </w:rPr>
  </w:style>
  <w:style w:type="paragraph" w:styleId="IntenseQuote">
    <w:name w:val="Intense Quote"/>
    <w:basedOn w:val="Normal"/>
    <w:next w:val="Normal"/>
    <w:link w:val="IntenseQuoteChar"/>
    <w:uiPriority w:val="30"/>
    <w:qFormat/>
    <w:rsid w:val="007153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53F9"/>
    <w:rPr>
      <w:i/>
      <w:iCs/>
      <w:color w:val="2E74B5" w:themeColor="accent1" w:themeShade="BF"/>
    </w:rPr>
  </w:style>
  <w:style w:type="character" w:styleId="IntenseReference">
    <w:name w:val="Intense Reference"/>
    <w:basedOn w:val="DefaultParagraphFont"/>
    <w:uiPriority w:val="32"/>
    <w:qFormat/>
    <w:rsid w:val="007153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