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9E8F" w14:textId="77777777" w:rsidR="00B424F4" w:rsidRPr="00B424F4" w:rsidRDefault="00B424F4">
      <w:pPr>
        <w:rPr>
          <w:b/>
        </w:rPr>
      </w:pPr>
      <w:r w:rsidRPr="00B424F4">
        <w:rPr>
          <w:b/>
        </w:rPr>
        <w:t>HOLY - ( qodesh , Strong's H6944 )</w:t>
      </w:r>
    </w:p>
    <w:p w14:paraId="751603C4" w14:textId="77777777" w:rsidR="00B424F4" w:rsidRDefault="00B424F4">
      <w:r w:rsidRPr="00B424F4">
        <w:rPr>
          <w:b/>
        </w:rPr>
        <w:t>Summary:</w:t>
      </w:r>
    </w:p>
    <w:p w14:paraId="4D5F62AA" w14:textId="77777777" w:rsidR="00B424F4" w:rsidRDefault="00B424F4">
      <w:r>
        <w:t>The Hebrew word qodesh refers to that which is set apart, consecrated, or marked by sacredness, distinguishing it from the common or profane. In Exodus 31:14, it designates the Sabbath as a day uniquely reserved for Yahweh and consecrated for Israel's spiritual benefit, carrying the ultimate penalty of death for its desecration.</w:t>
      </w:r>
    </w:p>
    <w:p w14:paraId="75266FA5" w14:textId="77777777" w:rsidR="00B424F4" w:rsidRDefault="00B424F4"/>
    <w:p w14:paraId="393EC755" w14:textId="77777777" w:rsidR="00B424F4" w:rsidRDefault="00B424F4">
      <w:r w:rsidRPr="00B424F4">
        <w:rPr>
          <w:b/>
        </w:rPr>
        <w:t>Full Study:</w:t>
      </w:r>
    </w:p>
    <w:p w14:paraId="03DEC22B" w14:textId="77777777" w:rsidR="00B424F4" w:rsidRDefault="00B424F4"/>
    <w:p w14:paraId="02E8D32F" w14:textId="77777777" w:rsidR="00B424F4" w:rsidRPr="00B424F4" w:rsidRDefault="00B424F4">
      <w:pPr>
        <w:rPr>
          <w:b/>
        </w:rPr>
      </w:pPr>
      <w:r w:rsidRPr="00B424F4">
        <w:rPr>
          <w:b/>
        </w:rPr>
        <w:t>1. Word Picture / Background</w:t>
      </w:r>
    </w:p>
    <w:p w14:paraId="09B85876" w14:textId="77777777" w:rsidR="00B424F4" w:rsidRDefault="00B424F4">
      <w:r>
        <w:t>The noun qodesh derives from the root qdš, which historically carries the core concept of cutting off, separating, or setting apart. It depicts a boundary line drawn between the sacred and the ordinary. Rather than implying a static state of moral perfection alone, the background of qodesh evokes the image of a space, object, or period of time that is physically and spiritually partitioned for the exclusive use of God. Just as a king's personal chambers are off-limits to the public, that which is qodesh is reserved solely for Yahweh's presence and service, untouched by the mundane routines of life.</w:t>
      </w:r>
    </w:p>
    <w:p w14:paraId="5C086E6A" w14:textId="77777777" w:rsidR="00B424F4" w:rsidRDefault="00B424F4"/>
    <w:p w14:paraId="47306DDD" w14:textId="77777777" w:rsidR="00B424F4" w:rsidRPr="00B424F4" w:rsidRDefault="00B424F4">
      <w:pPr>
        <w:rPr>
          <w:b/>
        </w:rPr>
      </w:pPr>
      <w:r w:rsidRPr="00B424F4">
        <w:rPr>
          <w:b/>
        </w:rPr>
        <w:t>2. Meaning / Lexical Definition</w:t>
      </w:r>
    </w:p>
    <w:p w14:paraId="3DBD25F8" w14:textId="77777777" w:rsidR="00B424F4" w:rsidRDefault="00B424F4">
      <w:r>
        <w:t>• Qodesh is a masculine noun meaning "holiness," "sacredness," or "a holy thing." It represents the quality of being set apart from the common (chol) or the unclean (tame). The term does not merely describe an abstract attribute but frequently denotes concrete realities:</w:t>
      </w:r>
    </w:p>
    <w:p w14:paraId="22785CCC" w14:textId="77777777" w:rsidR="00B424F4" w:rsidRDefault="00B424F4">
      <w:r>
        <w:t>• Consecrated things, such as the tabernacle vessels or offerings (Exodus 28:38).</w:t>
      </w:r>
    </w:p>
    <w:p w14:paraId="7BE0BB79" w14:textId="77777777" w:rsidR="00B424F4" w:rsidRDefault="00B424F4">
      <w:r>
        <w:t>• Consecrated places, such as the Holy Place or the Holy of Holies (qodesh haqodashim) (Exodus 26:33).</w:t>
      </w:r>
    </w:p>
    <w:p w14:paraId="625F3901" w14:textId="77777777" w:rsidR="00B424F4" w:rsidRDefault="00B424F4">
      <w:r>
        <w:t>• Consecrated times, such as the Sabbath or feast days (Nehemiah 9:14).</w:t>
      </w:r>
    </w:p>
    <w:p w14:paraId="25D0A796" w14:textId="77777777" w:rsidR="00B424F4" w:rsidRDefault="00B424F4">
      <w:r>
        <w:t>In Exodus 31:14, qodesh functions as a predicate adjective or noun ("it is holiness/holy to you"), declaring that the seventh day possesses a unique, divinely imposed status of sacredness that Israel must recognize and respect.</w:t>
      </w:r>
    </w:p>
    <w:p w14:paraId="07941370" w14:textId="77777777" w:rsidR="00B424F4" w:rsidRDefault="00B424F4"/>
    <w:p w14:paraId="483E8B23" w14:textId="77777777" w:rsidR="00B424F4" w:rsidRPr="00B424F4" w:rsidRDefault="00B424F4">
      <w:pPr>
        <w:rPr>
          <w:b/>
        </w:rPr>
      </w:pPr>
      <w:r w:rsidRPr="00B424F4">
        <w:rPr>
          <w:b/>
        </w:rPr>
        <w:t>3. Usage and Word Pictures</w:t>
      </w:r>
    </w:p>
    <w:p w14:paraId="392D4936" w14:textId="77777777" w:rsidR="00B424F4" w:rsidRDefault="00B424F4">
      <w:r>
        <w:t>The Old Testament uses qodesh in several rich contexts to convey the reality of God's separate nature:</w:t>
      </w:r>
    </w:p>
    <w:p w14:paraId="42EDE1DA" w14:textId="77777777" w:rsidR="00B424F4" w:rsidRDefault="00B424F4">
      <w:r>
        <w:t>• The Sanctuary as Qodesh: The tabernacle is a physical representation of holiness, where access is strictly regulated. The outer court is holy, the inner room is the Holy Place (qodesh), and the innermost chamber is the Most Holy Place (qodesh qodashim).</w:t>
      </w:r>
    </w:p>
    <w:p w14:paraId="34B20083" w14:textId="77777777" w:rsidR="00B424F4" w:rsidRDefault="00B424F4">
      <w:r>
        <w:t>• Holy Garments: The priestly garments are described as "holy garments" (bigde qodesh), designed "for glory and for beauty" (Exodus 28:2), visually setting the priests apart from ordinary Israelites.</w:t>
      </w:r>
    </w:p>
    <w:p w14:paraId="3EDAEB16" w14:textId="77777777" w:rsidR="00B424F4" w:rsidRDefault="00B424F4">
      <w:r>
        <w:t>• Holy Anointing Oil: This oil is qodesh and cannot be duplicated for common use (Exodus 30:32-33). It pictures the exclusive consecration of people and objects to God's service.</w:t>
      </w:r>
    </w:p>
    <w:p w14:paraId="20B675E9" w14:textId="77777777" w:rsidR="00B424F4" w:rsidRDefault="00B424F4">
      <w:r>
        <w:t>In these contexts, the word picture is always one of strict boundaries. To cross these boundaries without authorization or in an improper state is to infringe upon God's holiness, which results in judgment.</w:t>
      </w:r>
    </w:p>
    <w:p w14:paraId="3EEFD1D8" w14:textId="77777777" w:rsidR="00B424F4" w:rsidRDefault="00B424F4"/>
    <w:p w14:paraId="09CDFC66" w14:textId="77777777" w:rsidR="00B424F4" w:rsidRPr="00B424F4" w:rsidRDefault="00B424F4">
      <w:pPr>
        <w:rPr>
          <w:b/>
        </w:rPr>
      </w:pPr>
      <w:r w:rsidRPr="00B424F4">
        <w:rPr>
          <w:b/>
        </w:rPr>
        <w:t>4. Theological Implications</w:t>
      </w:r>
    </w:p>
    <w:p w14:paraId="6496B21C" w14:textId="77777777" w:rsidR="00B424F4" w:rsidRDefault="00B424F4">
      <w:r>
        <w:t xml:space="preserve">Theologically, qodesh begins with the character of God Himself, who is the ultimate source of all holiness. God is transcendent, wholly other, and pure. Objects, places, and times are not holy in themselves; they become qodesh because of their relationship to Him. </w:t>
      </w:r>
    </w:p>
    <w:p w14:paraId="03E48A32" w14:textId="77777777" w:rsidR="00B424F4" w:rsidRDefault="00B424F4">
      <w:r>
        <w:t>• The Sabbath is the first thing in creation that God declares holy (Genesis 2:3). This establishes that time itself can be consecrated.</w:t>
      </w:r>
    </w:p>
    <w:p w14:paraId="108EF469" w14:textId="77777777" w:rsidR="00B424F4" w:rsidRDefault="00B424F4">
      <w:r>
        <w:t>• Holiness demands a response from God's people. Because Yahweh is holy, Israel must be holy (Leviticus 19:2).</w:t>
      </w:r>
    </w:p>
    <w:p w14:paraId="430CAFAB" w14:textId="77777777" w:rsidR="00B424F4" w:rsidRDefault="00B424F4">
      <w:r>
        <w:t>• The distinction between the holy (qodesh) and the common (chol) is central to the covenant. Violating this distinction is not merely a ceremonial infraction but an act of rebellion against the Lord's ownership and authority.</w:t>
      </w:r>
    </w:p>
    <w:p w14:paraId="3F6A00A3" w14:textId="77777777" w:rsidR="00B424F4" w:rsidRDefault="00B424F4"/>
    <w:p w14:paraId="11E55EEA" w14:textId="77777777" w:rsidR="00B424F4" w:rsidRPr="00B424F4" w:rsidRDefault="00B424F4">
      <w:pPr>
        <w:rPr>
          <w:b/>
        </w:rPr>
      </w:pPr>
      <w:r w:rsidRPr="00B424F4">
        <w:rPr>
          <w:b/>
        </w:rPr>
        <w:t>5. Contextual Nuance in the Passage</w:t>
      </w:r>
    </w:p>
    <w:p w14:paraId="19FCD27A" w14:textId="77777777" w:rsidR="00B424F4" w:rsidRDefault="00B424F4">
      <w:r>
        <w:t xml:space="preserve">In Exodus 31:14, the declaration "for it is holy to you" (ki qodesh hi lakem) serves as the legal and moral basis for the Sabbath command. </w:t>
      </w:r>
    </w:p>
    <w:p w14:paraId="4E2A92E6" w14:textId="77777777" w:rsidR="00B424F4" w:rsidRDefault="00B424F4">
      <w:r>
        <w:t>• The Sabbath's holiness is not subjective; it is an objective reality established by God.</w:t>
      </w:r>
    </w:p>
    <w:p w14:paraId="3BA30DB6" w14:textId="77777777" w:rsidR="00B424F4" w:rsidRDefault="00B424F4">
      <w:r>
        <w:t>• The phrase "to you" (lakem) indicates that while the Sabbath is consecrated to God, its sanctified status is meant to benefit Israel, serving as a sign of their covenant relationship with Yahweh (Exodus 31:13).</w:t>
      </w:r>
    </w:p>
    <w:p w14:paraId="3269D4FF" w14:textId="77777777" w:rsidR="00B424F4" w:rsidRDefault="00B424F4">
      <w:r>
        <w:t>• The gravity of its holiness is emphasized by the severe penalty: "Everyone who profanes it shall surely be put to death." To "profane" (chalal) is to treat what is holy as if it were common or ordinary. Doing mundane labor on the Sabbath drags the sacred day down into the realm of the ordinary, which is an assault on the holiness of the God who instituted it.</w:t>
      </w:r>
    </w:p>
    <w:p w14:paraId="6F858D95" w14:textId="77777777" w:rsidR="00B424F4" w:rsidRDefault="00B424F4"/>
    <w:p w14:paraId="0E98A771" w14:textId="77777777" w:rsidR="00B424F4" w:rsidRPr="00B424F4" w:rsidRDefault="00B424F4">
      <w:pPr>
        <w:rPr>
          <w:b/>
        </w:rPr>
      </w:pPr>
      <w:r w:rsidRPr="00B424F4">
        <w:rPr>
          <w:b/>
        </w:rPr>
        <w:t>6. Key Uses in Other Verses (NKJV)</w:t>
      </w:r>
    </w:p>
    <w:p w14:paraId="20869E25" w14:textId="77777777" w:rsidR="00B424F4" w:rsidRDefault="00B424F4">
      <w:r>
        <w:t>To ensure accuracy, each of the following passages translates qodesh in a context of sacred separation:</w:t>
      </w:r>
    </w:p>
    <w:p w14:paraId="788259D2" w14:textId="77777777" w:rsidR="00B424F4" w:rsidRDefault="00B424F4">
      <w:r>
        <w:t>• Exodus 3:5: "Do not draw near this place. Take your sandals off your feet, for the place where you stand is holy ground."</w:t>
      </w:r>
    </w:p>
    <w:p w14:paraId="56C7D9A3" w14:textId="77777777" w:rsidR="00B424F4" w:rsidRDefault="00B424F4">
      <w:r>
        <w:t>• Exodus 28:2: "And you shall make holy garments for Aaron your brother, for glory and for beauty."</w:t>
      </w:r>
    </w:p>
    <w:p w14:paraId="65ECE8A4" w14:textId="77777777" w:rsidR="00B424F4" w:rsidRDefault="00B424F4">
      <w:r>
        <w:t>• Leviticus 27:30: "And all the tithe of the land... is the Lord's. It is holy to the Lord."</w:t>
      </w:r>
    </w:p>
    <w:p w14:paraId="0CEB5303" w14:textId="77777777" w:rsidR="00B424F4" w:rsidRDefault="00B424F4">
      <w:r>
        <w:t>• Isaiah 35:8: "A highway shall be there, and a road, and it shall be called the Highway of Holiness."</w:t>
      </w:r>
    </w:p>
    <w:p w14:paraId="30030C13" w14:textId="77777777" w:rsidR="00B424F4" w:rsidRDefault="00B424F4"/>
    <w:p w14:paraId="2816BCE4" w14:textId="77777777" w:rsidR="00B424F4" w:rsidRPr="00B424F4" w:rsidRDefault="00B424F4">
      <w:pPr>
        <w:rPr>
          <w:b/>
        </w:rPr>
      </w:pPr>
      <w:r w:rsidRPr="00B424F4">
        <w:rPr>
          <w:b/>
        </w:rPr>
        <w:t>7. Other Relevant Insights</w:t>
      </w:r>
    </w:p>
    <w:p w14:paraId="6C43295F" w14:textId="77777777" w:rsidR="00B424F4" w:rsidRDefault="00B424F4">
      <w:r>
        <w:t>In the Septuagint (LXX), qodesh is almost always translated using the Greek word hagios or its derivatives (hagiasmos, hagiastes). The New Testament carries this same theology of holiness forward. Just as the Sabbath was set apart as qodesh for Israel, believers in Christ are called hagioi ("saints" or "holy ones"), signifying that they have been purchased by the blood of Christ, separated from the world, and consecrated for God's exclusive possession and service (1 Peter 2:9).</w:t>
      </w:r>
    </w:p>
    <w:p w14:paraId="2A5A2DA6" w14:textId="77777777" w:rsidR="00B424F4" w:rsidRDefault="00B424F4"/>
    <w:p w14:paraId="74AC0F2D" w14:textId="77777777" w:rsidR="00B424F4" w:rsidRPr="00B424F4" w:rsidRDefault="00B424F4">
      <w:pPr>
        <w:rPr>
          <w:b/>
        </w:rPr>
      </w:pPr>
      <w:r w:rsidRPr="00B424F4">
        <w:rPr>
          <w:b/>
        </w:rPr>
        <w:t>8. References</w:t>
      </w:r>
    </w:p>
    <w:p w14:paraId="314B2FCE" w14:textId="77777777" w:rsidR="00B424F4" w:rsidRDefault="00B424F4">
      <w:r>
        <w:t>• Brown, Francis, S.R. Driver, and Charles A. Briggs. The Brown-Driver-Briggs Hebrew and English Lexicon.</w:t>
      </w:r>
    </w:p>
    <w:p w14:paraId="5E44036C" w14:textId="77777777" w:rsidR="00B424F4" w:rsidRDefault="00B424F4">
      <w:r>
        <w:t>• Harris, R. Laird, Gleason L. Archer Jr., and Bruce K. Waltke. Theological Wordbook of the Old Testament.</w:t>
      </w:r>
    </w:p>
    <w:p w14:paraId="3E9A1C04" w14:textId="77777777" w:rsidR="00B424F4" w:rsidRDefault="00B424F4">
      <w:r>
        <w:t>• Koehler, Ludwig, and Walter Baumgartner. The Hebrew and Aramaic Lexicon of the Old Testament.</w:t>
      </w:r>
    </w:p>
    <w:p w14:paraId="4F75EAA7" w14:textId="41903CB5" w:rsidR="004C5552" w:rsidRDefault="00B424F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4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424F4"/>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1C15"/>
  <w15:chartTrackingRefBased/>
  <w15:docId w15:val="{7109F35B-4189-4E2F-A633-2E6F846E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2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2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4F4"/>
    <w:rPr>
      <w:rFonts w:eastAsiaTheme="majorEastAsia" w:cstheme="majorBidi"/>
      <w:color w:val="272727" w:themeColor="text1" w:themeTint="D8"/>
    </w:rPr>
  </w:style>
  <w:style w:type="paragraph" w:styleId="Title">
    <w:name w:val="Title"/>
    <w:basedOn w:val="Normal"/>
    <w:next w:val="Normal"/>
    <w:link w:val="TitleChar"/>
    <w:uiPriority w:val="10"/>
    <w:qFormat/>
    <w:rsid w:val="00B42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4F4"/>
    <w:pPr>
      <w:spacing w:before="160"/>
      <w:jc w:val="center"/>
    </w:pPr>
    <w:rPr>
      <w:i/>
      <w:iCs/>
      <w:color w:val="404040" w:themeColor="text1" w:themeTint="BF"/>
    </w:rPr>
  </w:style>
  <w:style w:type="character" w:customStyle="1" w:styleId="QuoteChar">
    <w:name w:val="Quote Char"/>
    <w:basedOn w:val="DefaultParagraphFont"/>
    <w:link w:val="Quote"/>
    <w:uiPriority w:val="29"/>
    <w:rsid w:val="00B424F4"/>
    <w:rPr>
      <w:i/>
      <w:iCs/>
      <w:color w:val="404040" w:themeColor="text1" w:themeTint="BF"/>
    </w:rPr>
  </w:style>
  <w:style w:type="paragraph" w:styleId="ListParagraph">
    <w:name w:val="List Paragraph"/>
    <w:basedOn w:val="Normal"/>
    <w:uiPriority w:val="34"/>
    <w:qFormat/>
    <w:rsid w:val="00B424F4"/>
    <w:pPr>
      <w:ind w:left="720"/>
      <w:contextualSpacing/>
    </w:pPr>
  </w:style>
  <w:style w:type="character" w:styleId="IntenseEmphasis">
    <w:name w:val="Intense Emphasis"/>
    <w:basedOn w:val="DefaultParagraphFont"/>
    <w:uiPriority w:val="21"/>
    <w:qFormat/>
    <w:rsid w:val="00B424F4"/>
    <w:rPr>
      <w:i/>
      <w:iCs/>
      <w:color w:val="2E74B5" w:themeColor="accent1" w:themeShade="BF"/>
    </w:rPr>
  </w:style>
  <w:style w:type="paragraph" w:styleId="IntenseQuote">
    <w:name w:val="Intense Quote"/>
    <w:basedOn w:val="Normal"/>
    <w:next w:val="Normal"/>
    <w:link w:val="IntenseQuoteChar"/>
    <w:uiPriority w:val="30"/>
    <w:qFormat/>
    <w:rsid w:val="00B424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24F4"/>
    <w:rPr>
      <w:i/>
      <w:iCs/>
      <w:color w:val="2E74B5" w:themeColor="accent1" w:themeShade="BF"/>
    </w:rPr>
  </w:style>
  <w:style w:type="character" w:styleId="IntenseReference">
    <w:name w:val="Intense Reference"/>
    <w:basedOn w:val="DefaultParagraphFont"/>
    <w:uiPriority w:val="32"/>
    <w:qFormat/>
    <w:rsid w:val="00B424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