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18704C7" w14:textId="77777777" w:rsidR="00E07136" w:rsidRPr="00E07136" w:rsidRDefault="00E07136">
      <w:pPr>
        <w:rPr>
          <w:b/>
        </w:rPr>
      </w:pPr>
      <w:r w:rsidRPr="00E07136">
        <w:rPr>
          <w:b/>
        </w:rPr>
        <w:t>TESTIMONY - ( 'edut , Strong's H5715 )</w:t>
      </w:r>
    </w:p>
    <w:p w14:paraId="360EAF37" w14:textId="77777777" w:rsidR="00E07136" w:rsidRDefault="00E07136">
      <w:r w:rsidRPr="00E07136">
        <w:rPr>
          <w:b/>
        </w:rPr>
        <w:t>Summary:</w:t>
      </w:r>
    </w:p>
    <w:p w14:paraId="2B1EB968" w14:textId="77777777" w:rsidR="00E07136" w:rsidRDefault="00E07136">
      <w:r>
        <w:t>The Hebrew noun ‘ēdût refers to a solemn, binding testimony, warning, or precept, most frequently used in the Old Testament to denote the Decalogue (the Ten Commandments) written on the tablets of stone, which stood as a permanent witness of the covenant between God and Israel. In Exodus 31:18, "tablets of the Testimony" represent the physical embodiment of God's holy standards and His covenant requirements. As a "testimony," these laws did not merely regulate behavior but testified to the character of God Himself and witnessed against the people should they violate His covenant.</w:t>
      </w:r>
    </w:p>
    <w:p w14:paraId="3D623C8A" w14:textId="77777777" w:rsidR="00E07136" w:rsidRDefault="00E07136"/>
    <w:p w14:paraId="6A5925D6" w14:textId="77777777" w:rsidR="00E07136" w:rsidRDefault="00E07136">
      <w:r w:rsidRPr="00E07136">
        <w:rPr>
          <w:b/>
        </w:rPr>
        <w:t>Full Study:</w:t>
      </w:r>
    </w:p>
    <w:p w14:paraId="1573DA74" w14:textId="77777777" w:rsidR="00E07136" w:rsidRDefault="00E07136"/>
    <w:p w14:paraId="722F4908" w14:textId="77777777" w:rsidR="00E07136" w:rsidRPr="00E07136" w:rsidRDefault="00E07136">
      <w:pPr>
        <w:rPr>
          <w:b/>
        </w:rPr>
      </w:pPr>
      <w:r w:rsidRPr="00E07136">
        <w:rPr>
          <w:b/>
        </w:rPr>
        <w:t>1. Word Picture / Background</w:t>
      </w:r>
    </w:p>
    <w:p w14:paraId="4522B81E" w14:textId="77777777" w:rsidR="00E07136" w:rsidRDefault="00E07136">
      <w:r>
        <w:t>The word ‘ēdût is derived from the root ‘ûd, which means "to return," "to repeat," or "to do again," and in the causative stem (Hiphil), "to testify," "to warn," or "to call as a witness." The underlying word picture suggests a solemn declaration or warning that is repeatedly brought forward to establish a fact or remind parties of an obligation. In ancient Near Eastern treaty contexts, a "testimony" or "witness" was a physical object, document, or monument that preserved the terms of an agreement between a sovereign king and his vassals. The tablets of the Testimony functioned as this concrete, unchanging witness of Yahweh’s covenant with Israel, deposited safely inside the Ark of the Testimony in the Holy of Holies.</w:t>
      </w:r>
    </w:p>
    <w:p w14:paraId="33E2AC5E" w14:textId="77777777" w:rsidR="00E07136" w:rsidRDefault="00E07136"/>
    <w:p w14:paraId="5B065621" w14:textId="77777777" w:rsidR="00E07136" w:rsidRPr="00E07136" w:rsidRDefault="00E07136">
      <w:pPr>
        <w:rPr>
          <w:b/>
        </w:rPr>
      </w:pPr>
      <w:r w:rsidRPr="00E07136">
        <w:rPr>
          <w:b/>
        </w:rPr>
        <w:t>2. Meaning / Lexical Definition</w:t>
      </w:r>
    </w:p>
    <w:p w14:paraId="315711A7" w14:textId="77777777" w:rsidR="00E07136" w:rsidRDefault="00E07136">
      <w:r>
        <w:t>• ‘ēdût is a feminine noun meaning "testimony," "witness," "precept," or "decree." Lexically, it is used in several overlapping ways:</w:t>
      </w:r>
    </w:p>
    <w:p w14:paraId="4B4B430E" w14:textId="77777777" w:rsidR="00E07136" w:rsidRDefault="00E07136">
      <w:r>
        <w:t>• As a term for the Ten Commandments themselves, specifically referred to as "the Testimony."</w:t>
      </w:r>
    </w:p>
    <w:p w14:paraId="46BE25F3" w14:textId="77777777" w:rsidR="00E07136" w:rsidRDefault="00E07136">
      <w:r>
        <w:t>• In the plural (‘ēdôt), referring to God’s laws, decrees, or testimonies that instruct His people in righteous living.</w:t>
      </w:r>
    </w:p>
    <w:p w14:paraId="52A57D57" w14:textId="77777777" w:rsidR="00E07136" w:rsidRDefault="00E07136">
      <w:r>
        <w:t>• In treaty language, as the solemn stipulations or laws that bind two parties in a covenant.</w:t>
      </w:r>
    </w:p>
    <w:p w14:paraId="1E13B2BD" w14:textId="77777777" w:rsidR="00E07136" w:rsidRDefault="00E07136">
      <w:r>
        <w:t>It carries the force of a divine warning and an authoritative standard that testifies to God's moral perfection.</w:t>
      </w:r>
    </w:p>
    <w:p w14:paraId="05A9E14C" w14:textId="77777777" w:rsidR="00E07136" w:rsidRDefault="00E07136"/>
    <w:p w14:paraId="413DB2BC" w14:textId="77777777" w:rsidR="00E07136" w:rsidRPr="00E07136" w:rsidRDefault="00E07136">
      <w:pPr>
        <w:rPr>
          <w:b/>
        </w:rPr>
      </w:pPr>
      <w:r w:rsidRPr="00E07136">
        <w:rPr>
          <w:b/>
        </w:rPr>
        <w:t>3. Usage and Word Pictures</w:t>
      </w:r>
    </w:p>
    <w:p w14:paraId="709B41F3" w14:textId="77777777" w:rsidR="00E07136" w:rsidRDefault="00E07136">
      <w:r>
        <w:t>The term is deeply intertwined with the tabernacle and its furnishings, forming key compound phrases:</w:t>
      </w:r>
    </w:p>
    <w:p w14:paraId="57088A28" w14:textId="77777777" w:rsidR="00E07136" w:rsidRDefault="00E07136">
      <w:r>
        <w:t>• "Tablets of the Testimony" (luhot ha'edut): The two stone tablets containing the Ten Commandments, written by the finger of God (Exodus 31:18; 32:15).</w:t>
      </w:r>
    </w:p>
    <w:p w14:paraId="1F8C2526" w14:textId="77777777" w:rsidR="00E07136" w:rsidRDefault="00E07136">
      <w:r>
        <w:t>• "Ark of the Testimony" (‘arôn ha'edut): The sacred chest where the tablets were kept (Exodus 25:22; 30:6).</w:t>
      </w:r>
    </w:p>
    <w:p w14:paraId="02B9BE5C" w14:textId="77777777" w:rsidR="00E07136" w:rsidRDefault="00E07136">
      <w:r>
        <w:t>• "Tabernacle of the Testimony" (mishkan ha'edut): The tent of meeting itself, defined by the presence of this divine witness (Exodus 38:21; Numbers 1:50).</w:t>
      </w:r>
    </w:p>
    <w:p w14:paraId="57EB883B" w14:textId="77777777" w:rsidR="00E07136" w:rsidRDefault="00E07136">
      <w:r>
        <w:t>The word picture here is one of central containment and preservation. The core of Israel's worship, geography, and community life was built around "the Testimony," demonstrating that God's revealed truth and moral standard must be at the very center of His people's existence.</w:t>
      </w:r>
    </w:p>
    <w:p w14:paraId="106E8342" w14:textId="77777777" w:rsidR="00E07136" w:rsidRDefault="00E07136"/>
    <w:p w14:paraId="0584147A" w14:textId="77777777" w:rsidR="00E07136" w:rsidRPr="00E07136" w:rsidRDefault="00E07136">
      <w:pPr>
        <w:rPr>
          <w:b/>
        </w:rPr>
      </w:pPr>
      <w:r w:rsidRPr="00E07136">
        <w:rPr>
          <w:b/>
        </w:rPr>
        <w:t>4. Theological Implications</w:t>
      </w:r>
    </w:p>
    <w:p w14:paraId="529F0159" w14:textId="77777777" w:rsidR="00E07136" w:rsidRDefault="00E07136">
      <w:r>
        <w:t>The theological significance of ‘ēdût lies in its revelatory and relational nature:</w:t>
      </w:r>
    </w:p>
    <w:p w14:paraId="03C8CDBF" w14:textId="77777777" w:rsidR="00E07136" w:rsidRDefault="00E07136">
      <w:r>
        <w:t>• The Character of God: The Testimony is not an arbitrary set of rules but a reflection of Yahweh’s holy character. It testifies to who He is.</w:t>
      </w:r>
    </w:p>
    <w:p w14:paraId="62B1BBE9" w14:textId="77777777" w:rsidR="00E07136" w:rsidRDefault="00E07136">
      <w:r>
        <w:t>• Covenantal Witness: In ancient treaties, copy-tablets were placed in the temples of the respective gods to serve as active witnesses to the treaty. Here, the tablets are placed directly in the Ark, under the mercy seat, showing that God Himself witnesses and guarantees the covenant.</w:t>
      </w:r>
    </w:p>
    <w:p w14:paraId="693AB3C4" w14:textId="77777777" w:rsidR="00E07136" w:rsidRDefault="00E07136">
      <w:r>
        <w:t>• The Needy Heart and Grace: Because the Testimony demands perfect righteousness, it ultimately witnesses against human sinfulness. However, the placement of the Testimony directly beneath the mercy seat, where the blood of atonement was sprinkled on the Day of Atonement, beautifully illustrates how God's grace and mercy cover the demands and accusations of the law.</w:t>
      </w:r>
    </w:p>
    <w:p w14:paraId="4129CB62" w14:textId="77777777" w:rsidR="00E07136" w:rsidRDefault="00E07136"/>
    <w:p w14:paraId="02E4D715" w14:textId="77777777" w:rsidR="00E07136" w:rsidRPr="00E07136" w:rsidRDefault="00E07136">
      <w:pPr>
        <w:rPr>
          <w:b/>
        </w:rPr>
      </w:pPr>
      <w:r w:rsidRPr="00E07136">
        <w:rPr>
          <w:b/>
        </w:rPr>
        <w:t>5. Contextual Nuance in the Passage</w:t>
      </w:r>
    </w:p>
    <w:p w14:paraId="620A08E3" w14:textId="77777777" w:rsidR="00E07136" w:rsidRDefault="00E07136">
      <w:r>
        <w:t xml:space="preserve">In Exodus 31:18, the term occurs at a crucial transition point in the narrative. After delivering extensive instructions for the tabernacle, priesthood, and Sabbath (Exodus 25–31), God seals this communication by giving Moses the physical "tablets of the Testimony." </w:t>
      </w:r>
    </w:p>
    <w:p w14:paraId="66CB745D" w14:textId="77777777" w:rsidR="00E07136" w:rsidRDefault="00E07136">
      <w:r>
        <w:t>• The proximity of this gift to the Sabbath command (Exodus 31:12-17) and the immediate slide of Israel into idolatry with the golden calf (Exodus 32) is highly dramatic.</w:t>
      </w:r>
    </w:p>
    <w:p w14:paraId="41E401B8" w14:textId="77777777" w:rsidR="00E07136" w:rsidRDefault="00E07136">
      <w:r>
        <w:t>• The "tablets of the Testimony" are described as "tablets of stone, written with the finger of God." This emphasizes their permanent, authoritative, and divine origin.</w:t>
      </w:r>
    </w:p>
    <w:p w14:paraId="7EA8A83E" w14:textId="77777777" w:rsidR="00E07136" w:rsidRDefault="00E07136">
      <w:r>
        <w:t>• They are not Moses' ideas; they are God's own direct ‘ēdût—His testimony to His people. When Moses descends the mountain and finds the people in idolatry, the tablets stand as an immediate, silent witness of their treason against the covenant.</w:t>
      </w:r>
    </w:p>
    <w:p w14:paraId="0CF13B15" w14:textId="77777777" w:rsidR="00E07136" w:rsidRDefault="00E07136"/>
    <w:p w14:paraId="0F193B57" w14:textId="77777777" w:rsidR="00E07136" w:rsidRPr="00E07136" w:rsidRDefault="00E07136">
      <w:pPr>
        <w:rPr>
          <w:b/>
        </w:rPr>
      </w:pPr>
      <w:r w:rsidRPr="00E07136">
        <w:rPr>
          <w:b/>
        </w:rPr>
        <w:t>6. Key Uses in Other Verses (NKJV)</w:t>
      </w:r>
    </w:p>
    <w:p w14:paraId="46A7C9DC" w14:textId="77777777" w:rsidR="00E07136" w:rsidRDefault="00E07136">
      <w:r>
        <w:t>The Hebrew noun ‘ēdût is translated as "Testimony" in these key passages:</w:t>
      </w:r>
    </w:p>
    <w:p w14:paraId="18CE5ED1" w14:textId="77777777" w:rsidR="00E07136" w:rsidRDefault="00E07136">
      <w:r>
        <w:t>• Exodus 25:16: "And you shall put into the ark the Testimony which I will give you."</w:t>
      </w:r>
    </w:p>
    <w:p w14:paraId="52123192" w14:textId="77777777" w:rsidR="00E07136" w:rsidRDefault="00E07136">
      <w:r>
        <w:t>• Exodus 25:21: "You shall put the mercy seat on top of the ark, and in the ark you shall put the Testimony that I will give you."</w:t>
      </w:r>
    </w:p>
    <w:p w14:paraId="112F756B" w14:textId="77777777" w:rsidR="00E07136" w:rsidRDefault="00E07136">
      <w:r>
        <w:t>• Exodus 40:20: "He took the Testimony and put it into the ark, inserted the poles through the rings of the ark, and put the mercy seat on top of the ark."</w:t>
      </w:r>
    </w:p>
    <w:p w14:paraId="0DED904A" w14:textId="77777777" w:rsidR="00E07136" w:rsidRDefault="00E07136">
      <w:r>
        <w:t>• Leviticus 16:13: "And he shall put the incense on the fire before the Lord, that the cloud of incense may cover the mercy seat that is on the Testimony, lest he die."</w:t>
      </w:r>
    </w:p>
    <w:p w14:paraId="38020BCA" w14:textId="77777777" w:rsidR="00E07136" w:rsidRDefault="00E07136">
      <w:r>
        <w:t>• Numbers 17:4: "And you shall place them in the tabernacle of meeting before the Testimony, where I meet with you."</w:t>
      </w:r>
    </w:p>
    <w:p w14:paraId="10AEA6E9" w14:textId="77777777" w:rsidR="00E07136" w:rsidRDefault="00E07136"/>
    <w:p w14:paraId="6F0D639D" w14:textId="77777777" w:rsidR="00E07136" w:rsidRPr="00E07136" w:rsidRDefault="00E07136">
      <w:pPr>
        <w:rPr>
          <w:b/>
        </w:rPr>
      </w:pPr>
      <w:r w:rsidRPr="00E07136">
        <w:rPr>
          <w:b/>
        </w:rPr>
        <w:t>7. Other Relevant Insights</w:t>
      </w:r>
    </w:p>
    <w:p w14:paraId="230B7AA5" w14:textId="77777777" w:rsidR="00E07136" w:rsidRDefault="00E07136">
      <w:r>
        <w:t>In the Septuagint (LXX), ‘ēdût is consistently translated using the Greek noun martyrion, meaning "testimony" or "witness." This is the root from which the English word "martyr" (one who witnesses to the point of death) is derived. This Greek translation reinforces the legal and declaratory nature of the tablets. In the New Testament, the concept of God's "testimony" shifts from the written tablets of stone to the living testimony of Jesus Christ and the gospel (1 Corinthians 1:6; 2 Timothy 1:8). Under the New Covenant, the testimony of God is no longer kept in a stone-built ark but is written on the tablets of human hearts by the Holy Spirit (2 Corinthians 3:3).</w:t>
      </w:r>
    </w:p>
    <w:p w14:paraId="0D704A13" w14:textId="77777777" w:rsidR="00E07136" w:rsidRDefault="00E07136"/>
    <w:p w14:paraId="69AE4164" w14:textId="77777777" w:rsidR="00E07136" w:rsidRPr="00E07136" w:rsidRDefault="00E07136">
      <w:pPr>
        <w:rPr>
          <w:b/>
        </w:rPr>
      </w:pPr>
      <w:r w:rsidRPr="00E07136">
        <w:rPr>
          <w:b/>
        </w:rPr>
        <w:t>8. References</w:t>
      </w:r>
    </w:p>
    <w:p w14:paraId="1CD2672C" w14:textId="77777777" w:rsidR="00E07136" w:rsidRDefault="00E07136">
      <w:r>
        <w:t>• Brown, Francis, S. R. Driver, and Charles A. Briggs. The Brown-Driver-Briggs Hebrew and English Lexicon.</w:t>
      </w:r>
    </w:p>
    <w:p w14:paraId="1F91B241" w14:textId="77777777" w:rsidR="00E07136" w:rsidRDefault="00E07136">
      <w:r>
        <w:t>• Harris, R. Laird, Gleason L. Archer Jr., and Bruce K. Waltke. Theological Wordbook of the Old Testament.</w:t>
      </w:r>
    </w:p>
    <w:p w14:paraId="624EAB16" w14:textId="77777777" w:rsidR="00E07136" w:rsidRDefault="00E07136">
      <w:r>
        <w:t>• Koehler, Ludwig, and Walter Baumgartner. The Hebrew and Aramaic Lexicon of the Old Testament.</w:t>
      </w:r>
    </w:p>
    <w:p w14:paraId="3217C82F" w14:textId="77777777" w:rsidR="00E07136" w:rsidRDefault="00E07136">
      <w:r>
        <w:t>• VanGemeren, Willem A., ed. New International Dictionary of Old Testament Theology &amp; Exegesis.</w:t>
      </w:r>
    </w:p>
    <w:p w14:paraId="7C59654B" w14:textId="55678EB6" w:rsidR="004C5552" w:rsidRDefault="00E07136">
      <w:r>
        <w:t>• Vine, W.E. Vine's Complete Expository Dictionary of Old and New Testament Words.</w:t>
      </w:r>
    </w:p>
    <w:sectPr w:rsidR="004C5552">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E07136"/>
    <w:rsid w:val="00017747"/>
    <w:rsid w:val="00023A4A"/>
    <w:rsid w:val="0006763F"/>
    <w:rsid w:val="000C53AC"/>
    <w:rsid w:val="00146083"/>
    <w:rsid w:val="001B2D17"/>
    <w:rsid w:val="002058F7"/>
    <w:rsid w:val="00224809"/>
    <w:rsid w:val="002357B1"/>
    <w:rsid w:val="002464EB"/>
    <w:rsid w:val="00273F8C"/>
    <w:rsid w:val="00285674"/>
    <w:rsid w:val="00286CCE"/>
    <w:rsid w:val="002A2E4C"/>
    <w:rsid w:val="002C392D"/>
    <w:rsid w:val="002C632B"/>
    <w:rsid w:val="002D6D54"/>
    <w:rsid w:val="003141AA"/>
    <w:rsid w:val="003D195F"/>
    <w:rsid w:val="003E37AC"/>
    <w:rsid w:val="00404543"/>
    <w:rsid w:val="0040649C"/>
    <w:rsid w:val="00462794"/>
    <w:rsid w:val="004C5552"/>
    <w:rsid w:val="004D27A9"/>
    <w:rsid w:val="00521E68"/>
    <w:rsid w:val="0057165E"/>
    <w:rsid w:val="00594655"/>
    <w:rsid w:val="005E6C17"/>
    <w:rsid w:val="0062363D"/>
    <w:rsid w:val="00637AF7"/>
    <w:rsid w:val="0068296A"/>
    <w:rsid w:val="006B520A"/>
    <w:rsid w:val="006D562B"/>
    <w:rsid w:val="006F7E0F"/>
    <w:rsid w:val="00707F07"/>
    <w:rsid w:val="00722DFD"/>
    <w:rsid w:val="00723C8B"/>
    <w:rsid w:val="00780161"/>
    <w:rsid w:val="00793F45"/>
    <w:rsid w:val="00795E5C"/>
    <w:rsid w:val="008355B6"/>
    <w:rsid w:val="00955C8C"/>
    <w:rsid w:val="00996458"/>
    <w:rsid w:val="009C5D02"/>
    <w:rsid w:val="00A13A16"/>
    <w:rsid w:val="00A34ACA"/>
    <w:rsid w:val="00AE095C"/>
    <w:rsid w:val="00AF1749"/>
    <w:rsid w:val="00B5256D"/>
    <w:rsid w:val="00BC7A2F"/>
    <w:rsid w:val="00BF2A14"/>
    <w:rsid w:val="00BF3376"/>
    <w:rsid w:val="00C54ADC"/>
    <w:rsid w:val="00CD5206"/>
    <w:rsid w:val="00CD5875"/>
    <w:rsid w:val="00D4513C"/>
    <w:rsid w:val="00D64377"/>
    <w:rsid w:val="00D72761"/>
    <w:rsid w:val="00D82B4E"/>
    <w:rsid w:val="00D90D97"/>
    <w:rsid w:val="00DD7A15"/>
    <w:rsid w:val="00E07136"/>
    <w:rsid w:val="00E125AE"/>
    <w:rsid w:val="00E15FED"/>
    <w:rsid w:val="00E22019"/>
    <w:rsid w:val="00E27618"/>
    <w:rsid w:val="00E91AF3"/>
    <w:rsid w:val="00E962D1"/>
    <w:rsid w:val="00F27C22"/>
    <w:rsid w:val="00F37C9A"/>
    <w:rsid w:val="00FB2E51"/>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373EEA8"/>
  <w15:chartTrackingRefBased/>
  <w15:docId w15:val="{F7B16C8C-96D2-41EE-B436-DE452093631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CD5206"/>
  </w:style>
  <w:style w:type="paragraph" w:styleId="Heading1">
    <w:name w:val="heading 1"/>
    <w:basedOn w:val="Normal"/>
    <w:next w:val="Normal"/>
    <w:link w:val="Heading1Char"/>
    <w:autoRedefine/>
    <w:uiPriority w:val="9"/>
    <w:qFormat/>
    <w:rsid w:val="00285674"/>
    <w:pPr>
      <w:keepNext/>
      <w:keepLines/>
      <w:spacing w:before="360" w:after="80"/>
      <w:outlineLvl w:val="0"/>
    </w:pPr>
    <w:rPr>
      <w:rFonts w:asciiTheme="majorHAnsi" w:eastAsiaTheme="majorEastAsia" w:hAnsiTheme="majorHAnsi" w:cstheme="majorBidi"/>
      <w:b/>
      <w:sz w:val="32"/>
      <w:szCs w:val="40"/>
    </w:rPr>
  </w:style>
  <w:style w:type="paragraph" w:styleId="Heading2">
    <w:name w:val="heading 2"/>
    <w:basedOn w:val="Normal"/>
    <w:next w:val="Normal"/>
    <w:link w:val="Heading2Char"/>
    <w:autoRedefine/>
    <w:uiPriority w:val="9"/>
    <w:unhideWhenUsed/>
    <w:qFormat/>
    <w:rsid w:val="00285674"/>
    <w:pPr>
      <w:keepNext/>
      <w:keepLines/>
      <w:spacing w:before="160" w:after="80"/>
      <w:outlineLvl w:val="1"/>
    </w:pPr>
    <w:rPr>
      <w:rFonts w:asciiTheme="majorHAnsi" w:eastAsiaTheme="majorEastAsia" w:hAnsiTheme="majorHAnsi" w:cstheme="majorBidi"/>
      <w:b/>
      <w:color w:val="000000" w:themeColor="text1"/>
      <w:sz w:val="28"/>
      <w:szCs w:val="32"/>
    </w:rPr>
  </w:style>
  <w:style w:type="paragraph" w:styleId="Heading3">
    <w:name w:val="heading 3"/>
    <w:basedOn w:val="Normal"/>
    <w:next w:val="Normal"/>
    <w:link w:val="Heading3Char"/>
    <w:autoRedefine/>
    <w:uiPriority w:val="9"/>
    <w:unhideWhenUsed/>
    <w:qFormat/>
    <w:rsid w:val="00285674"/>
    <w:pPr>
      <w:keepNext/>
      <w:keepLines/>
      <w:spacing w:before="160" w:after="80"/>
      <w:outlineLvl w:val="2"/>
    </w:pPr>
    <w:rPr>
      <w:rFonts w:eastAsiaTheme="majorEastAsia" w:cstheme="majorBidi"/>
      <w:b/>
      <w:color w:val="000000" w:themeColor="text1"/>
      <w:szCs w:val="28"/>
    </w:rPr>
  </w:style>
  <w:style w:type="paragraph" w:styleId="Heading4">
    <w:name w:val="heading 4"/>
    <w:basedOn w:val="Normal"/>
    <w:next w:val="Normal"/>
    <w:link w:val="Heading4Char"/>
    <w:autoRedefine/>
    <w:uiPriority w:val="9"/>
    <w:semiHidden/>
    <w:unhideWhenUsed/>
    <w:qFormat/>
    <w:rsid w:val="00285674"/>
    <w:pPr>
      <w:keepNext/>
      <w:keepLines/>
      <w:spacing w:before="80" w:after="40"/>
      <w:outlineLvl w:val="3"/>
    </w:pPr>
    <w:rPr>
      <w:rFonts w:eastAsiaTheme="majorEastAsia" w:cstheme="majorBidi"/>
      <w:b/>
      <w:i/>
      <w:iCs/>
      <w:color w:val="000000" w:themeColor="text1"/>
    </w:rPr>
  </w:style>
  <w:style w:type="paragraph" w:styleId="Heading5">
    <w:name w:val="heading 5"/>
    <w:basedOn w:val="Normal"/>
    <w:next w:val="Normal"/>
    <w:link w:val="Heading5Char"/>
    <w:autoRedefine/>
    <w:uiPriority w:val="9"/>
    <w:semiHidden/>
    <w:unhideWhenUsed/>
    <w:qFormat/>
    <w:rsid w:val="00285674"/>
    <w:pPr>
      <w:keepNext/>
      <w:keepLines/>
      <w:spacing w:before="80" w:after="40"/>
      <w:outlineLvl w:val="4"/>
    </w:pPr>
    <w:rPr>
      <w:rFonts w:eastAsiaTheme="majorEastAsia" w:cstheme="majorBidi"/>
      <w:color w:val="2E74B5" w:themeColor="accent1" w:themeShade="BF"/>
    </w:rPr>
  </w:style>
  <w:style w:type="paragraph" w:styleId="Heading6">
    <w:name w:val="heading 6"/>
    <w:basedOn w:val="Normal"/>
    <w:next w:val="Normal"/>
    <w:link w:val="Heading6Char"/>
    <w:uiPriority w:val="9"/>
    <w:semiHidden/>
    <w:unhideWhenUsed/>
    <w:qFormat/>
    <w:rsid w:val="00E07136"/>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E07136"/>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E07136"/>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E07136"/>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285674"/>
    <w:rPr>
      <w:rFonts w:asciiTheme="majorHAnsi" w:eastAsiaTheme="majorEastAsia" w:hAnsiTheme="majorHAnsi" w:cstheme="majorBidi"/>
      <w:b/>
      <w:sz w:val="32"/>
      <w:szCs w:val="40"/>
    </w:rPr>
  </w:style>
  <w:style w:type="character" w:customStyle="1" w:styleId="Heading2Char">
    <w:name w:val="Heading 2 Char"/>
    <w:basedOn w:val="DefaultParagraphFont"/>
    <w:link w:val="Heading2"/>
    <w:uiPriority w:val="9"/>
    <w:rsid w:val="00285674"/>
    <w:rPr>
      <w:rFonts w:asciiTheme="majorHAnsi" w:eastAsiaTheme="majorEastAsia" w:hAnsiTheme="majorHAnsi" w:cstheme="majorBidi"/>
      <w:b/>
      <w:color w:val="000000" w:themeColor="text1"/>
      <w:sz w:val="28"/>
      <w:szCs w:val="32"/>
    </w:rPr>
  </w:style>
  <w:style w:type="character" w:customStyle="1" w:styleId="Heading3Char">
    <w:name w:val="Heading 3 Char"/>
    <w:basedOn w:val="DefaultParagraphFont"/>
    <w:link w:val="Heading3"/>
    <w:uiPriority w:val="9"/>
    <w:rsid w:val="00285674"/>
    <w:rPr>
      <w:rFonts w:eastAsiaTheme="majorEastAsia" w:cstheme="majorBidi"/>
      <w:b/>
      <w:color w:val="000000" w:themeColor="text1"/>
      <w:szCs w:val="28"/>
    </w:rPr>
  </w:style>
  <w:style w:type="character" w:customStyle="1" w:styleId="Heading4Char">
    <w:name w:val="Heading 4 Char"/>
    <w:basedOn w:val="DefaultParagraphFont"/>
    <w:link w:val="Heading4"/>
    <w:uiPriority w:val="9"/>
    <w:semiHidden/>
    <w:rsid w:val="00285674"/>
    <w:rPr>
      <w:rFonts w:eastAsiaTheme="majorEastAsia" w:cstheme="majorBidi"/>
      <w:b/>
      <w:i/>
      <w:iCs/>
      <w:color w:val="000000" w:themeColor="text1"/>
    </w:rPr>
  </w:style>
  <w:style w:type="character" w:customStyle="1" w:styleId="Heading5Char">
    <w:name w:val="Heading 5 Char"/>
    <w:basedOn w:val="DefaultParagraphFont"/>
    <w:link w:val="Heading5"/>
    <w:uiPriority w:val="9"/>
    <w:semiHidden/>
    <w:rsid w:val="00285674"/>
    <w:rPr>
      <w:rFonts w:eastAsiaTheme="majorEastAsia" w:cstheme="majorBidi"/>
      <w:color w:val="2E74B5" w:themeColor="accent1" w:themeShade="BF"/>
    </w:rPr>
  </w:style>
  <w:style w:type="character" w:customStyle="1" w:styleId="Heading6Char">
    <w:name w:val="Heading 6 Char"/>
    <w:basedOn w:val="DefaultParagraphFont"/>
    <w:link w:val="Heading6"/>
    <w:uiPriority w:val="9"/>
    <w:semiHidden/>
    <w:rsid w:val="00E07136"/>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E07136"/>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E07136"/>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E07136"/>
    <w:rPr>
      <w:rFonts w:eastAsiaTheme="majorEastAsia" w:cstheme="majorBidi"/>
      <w:color w:val="272727" w:themeColor="text1" w:themeTint="D8"/>
    </w:rPr>
  </w:style>
  <w:style w:type="paragraph" w:styleId="Title">
    <w:name w:val="Title"/>
    <w:basedOn w:val="Normal"/>
    <w:next w:val="Normal"/>
    <w:link w:val="TitleChar"/>
    <w:uiPriority w:val="10"/>
    <w:qFormat/>
    <w:rsid w:val="00E07136"/>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E07136"/>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E07136"/>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E07136"/>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E07136"/>
    <w:pPr>
      <w:spacing w:before="160"/>
      <w:jc w:val="center"/>
    </w:pPr>
    <w:rPr>
      <w:i/>
      <w:iCs/>
      <w:color w:val="404040" w:themeColor="text1" w:themeTint="BF"/>
    </w:rPr>
  </w:style>
  <w:style w:type="character" w:customStyle="1" w:styleId="QuoteChar">
    <w:name w:val="Quote Char"/>
    <w:basedOn w:val="DefaultParagraphFont"/>
    <w:link w:val="Quote"/>
    <w:uiPriority w:val="29"/>
    <w:rsid w:val="00E07136"/>
    <w:rPr>
      <w:i/>
      <w:iCs/>
      <w:color w:val="404040" w:themeColor="text1" w:themeTint="BF"/>
    </w:rPr>
  </w:style>
  <w:style w:type="paragraph" w:styleId="ListParagraph">
    <w:name w:val="List Paragraph"/>
    <w:basedOn w:val="Normal"/>
    <w:uiPriority w:val="34"/>
    <w:qFormat/>
    <w:rsid w:val="00E07136"/>
    <w:pPr>
      <w:ind w:left="720"/>
      <w:contextualSpacing/>
    </w:pPr>
  </w:style>
  <w:style w:type="character" w:styleId="IntenseEmphasis">
    <w:name w:val="Intense Emphasis"/>
    <w:basedOn w:val="DefaultParagraphFont"/>
    <w:uiPriority w:val="21"/>
    <w:qFormat/>
    <w:rsid w:val="00E07136"/>
    <w:rPr>
      <w:i/>
      <w:iCs/>
      <w:color w:val="2E74B5" w:themeColor="accent1" w:themeShade="BF"/>
    </w:rPr>
  </w:style>
  <w:style w:type="paragraph" w:styleId="IntenseQuote">
    <w:name w:val="Intense Quote"/>
    <w:basedOn w:val="Normal"/>
    <w:next w:val="Normal"/>
    <w:link w:val="IntenseQuoteChar"/>
    <w:uiPriority w:val="30"/>
    <w:qFormat/>
    <w:rsid w:val="00E07136"/>
    <w:pPr>
      <w:pBdr>
        <w:top w:val="single" w:sz="4" w:space="10" w:color="2E74B5" w:themeColor="accent1" w:themeShade="BF"/>
        <w:bottom w:val="single" w:sz="4" w:space="10" w:color="2E74B5" w:themeColor="accent1" w:themeShade="BF"/>
      </w:pBdr>
      <w:spacing w:before="360" w:after="360"/>
      <w:ind w:left="864" w:right="864"/>
      <w:jc w:val="center"/>
    </w:pPr>
    <w:rPr>
      <w:i/>
      <w:iCs/>
      <w:color w:val="2E74B5" w:themeColor="accent1" w:themeShade="BF"/>
    </w:rPr>
  </w:style>
  <w:style w:type="character" w:customStyle="1" w:styleId="IntenseQuoteChar">
    <w:name w:val="Intense Quote Char"/>
    <w:basedOn w:val="DefaultParagraphFont"/>
    <w:link w:val="IntenseQuote"/>
    <w:uiPriority w:val="30"/>
    <w:rsid w:val="00E07136"/>
    <w:rPr>
      <w:i/>
      <w:iCs/>
      <w:color w:val="2E74B5" w:themeColor="accent1" w:themeShade="BF"/>
    </w:rPr>
  </w:style>
  <w:style w:type="character" w:styleId="IntenseReference">
    <w:name w:val="Intense Reference"/>
    <w:basedOn w:val="DefaultParagraphFont"/>
    <w:uiPriority w:val="32"/>
    <w:qFormat/>
    <w:rsid w:val="00E07136"/>
    <w:rPr>
      <w:b/>
      <w:bCs/>
      <w:smallCaps/>
      <w:color w:val="2E74B5"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0</TotalTime>
  <Pages>1</Pages>
  <Words>984</Words>
  <Characters>5610</Characters>
  <Application>Microsoft Office Word</Application>
  <DocSecurity>0</DocSecurity>
  <Lines>46</Lines>
  <Paragraphs>13</Paragraphs>
  <ScaleCrop>false</ScaleCrop>
  <Company/>
  <LinksUpToDate>false</LinksUpToDate>
  <CharactersWithSpaces>6581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Michael Teague</dc:creator>
  <cp:keywords/>
  <dc:description/>
  <cp:lastModifiedBy>Michael Teague</cp:lastModifiedBy>
  <cp:revision>1</cp:revision>
  <dcterms:created xsi:type="dcterms:W3CDTF">2026-08-14T11:01:00Z</dcterms:created>
  <dcterms:modified xsi:type="dcterms:W3CDTF">2026-08-14T11:01:00Z</dcterms:modified>
</cp:coreProperties>
</file>