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7919" w14:textId="77777777" w:rsidR="00BD3A23" w:rsidRPr="00BD3A23" w:rsidRDefault="00BD3A23">
      <w:pPr>
        <w:rPr>
          <w:b/>
        </w:rPr>
      </w:pPr>
      <w:r w:rsidRPr="00BD3A23">
        <w:rPr>
          <w:b/>
        </w:rPr>
        <w:t>FINGER - ( 'etsba' , Strong's H676 )</w:t>
      </w:r>
    </w:p>
    <w:p w14:paraId="161DCE28" w14:textId="77777777" w:rsidR="00BD3A23" w:rsidRDefault="00BD3A23">
      <w:r w:rsidRPr="00BD3A23">
        <w:rPr>
          <w:b/>
        </w:rPr>
        <w:t>Summary:</w:t>
      </w:r>
    </w:p>
    <w:p w14:paraId="51AA668D" w14:textId="77777777" w:rsidR="00BD3A23" w:rsidRDefault="00BD3A23">
      <w:r>
        <w:t>The Hebrew word 'etsba' refers literally to a finger or a toe, but when used metaphorically of God, it represents the direct, personal application of His power, authority, and writing agency. In Exodus 31:18, the "finger of God" emphasizes that the Ten Commandments on the tablets of stone were not of human origin, but were directly, tangibly, and permanently inscribed by the immediate power of Yahweh Himself, serving as an enduring witness of His covenant.</w:t>
      </w:r>
    </w:p>
    <w:p w14:paraId="0BB54EF7" w14:textId="77777777" w:rsidR="00BD3A23" w:rsidRDefault="00BD3A23"/>
    <w:p w14:paraId="0BE646A6" w14:textId="77777777" w:rsidR="00BD3A23" w:rsidRDefault="00BD3A23">
      <w:r w:rsidRPr="00BD3A23">
        <w:rPr>
          <w:b/>
        </w:rPr>
        <w:t>Full Study:</w:t>
      </w:r>
    </w:p>
    <w:p w14:paraId="226E212E" w14:textId="77777777" w:rsidR="00BD3A23" w:rsidRDefault="00BD3A23"/>
    <w:p w14:paraId="514EF052" w14:textId="77777777" w:rsidR="00BD3A23" w:rsidRPr="00BD3A23" w:rsidRDefault="00BD3A23">
      <w:pPr>
        <w:rPr>
          <w:b/>
        </w:rPr>
      </w:pPr>
      <w:r w:rsidRPr="00BD3A23">
        <w:rPr>
          <w:b/>
        </w:rPr>
        <w:t>1. Word Picture / Background</w:t>
      </w:r>
    </w:p>
    <w:p w14:paraId="5FD3746E" w14:textId="77777777" w:rsidR="00BD3A23" w:rsidRDefault="00BD3A23">
      <w:r>
        <w:t>• The word 'etsba' is a concrete noun used in the Semitic world to designate the digits of the hand or foot.</w:t>
      </w:r>
    </w:p>
    <w:p w14:paraId="729348EE" w14:textId="77777777" w:rsidR="00BD3A23" w:rsidRDefault="00BD3A23">
      <w:r>
        <w:t>• In ancient Near Eastern cultures, the finger was associated with pointing, directing, measuring, and executing fine, detailed work.</w:t>
      </w:r>
    </w:p>
    <w:p w14:paraId="610D4E84" w14:textId="77777777" w:rsidR="00BD3A23" w:rsidRDefault="00BD3A23">
      <w:r>
        <w:t>• As an anthropomorphism—assigning human physical characteristics to God—the "finger of God" denotes a highly localized and precise exertion of divine power, distinct from the broader, sweeping power associated with God's "strong hand" or "outstretched arm." While the hand or arm signifies mighty, saving acts of deliverance, the finger represents detailed, deliberate, and direct action.</w:t>
      </w:r>
    </w:p>
    <w:p w14:paraId="05D739B7" w14:textId="77777777" w:rsidR="00BD3A23" w:rsidRDefault="00BD3A23"/>
    <w:p w14:paraId="6FCB8889" w14:textId="77777777" w:rsidR="00BD3A23" w:rsidRPr="00BD3A23" w:rsidRDefault="00BD3A23">
      <w:pPr>
        <w:rPr>
          <w:b/>
        </w:rPr>
      </w:pPr>
      <w:r w:rsidRPr="00BD3A23">
        <w:rPr>
          <w:b/>
        </w:rPr>
        <w:t>2. Meaning / Lexical Definition</w:t>
      </w:r>
    </w:p>
    <w:p w14:paraId="700AD2F2" w14:textId="77777777" w:rsidR="00BD3A23" w:rsidRDefault="00BD3A23">
      <w:r>
        <w:t>• 'etsba' means a finger, a toe, or a digit.</w:t>
      </w:r>
    </w:p>
    <w:p w14:paraId="7C6A8313" w14:textId="77777777" w:rsidR="00BD3A23" w:rsidRDefault="00BD3A23">
      <w:r>
        <w:t>• In ritual contexts, it refers to the finger of the priest used to sprinkle sacrificial blood.</w:t>
      </w:r>
    </w:p>
    <w:p w14:paraId="75F011D1" w14:textId="77777777" w:rsidR="00BD3A23" w:rsidRDefault="00BD3A23">
      <w:r>
        <w:t>• In figurative contexts, it functions as an anthropomorphism representing the direct agency, personal involvement, and authoritative power of God. It highlights the direct causation of an event without secondary human instruments or natural explanations.</w:t>
      </w:r>
    </w:p>
    <w:p w14:paraId="10934712" w14:textId="77777777" w:rsidR="00BD3A23" w:rsidRDefault="00BD3A23"/>
    <w:p w14:paraId="70FC9671" w14:textId="77777777" w:rsidR="00BD3A23" w:rsidRPr="00BD3A23" w:rsidRDefault="00BD3A23">
      <w:pPr>
        <w:rPr>
          <w:b/>
        </w:rPr>
      </w:pPr>
      <w:r w:rsidRPr="00BD3A23">
        <w:rPr>
          <w:b/>
        </w:rPr>
        <w:t>3. Usage and Word Pictures</w:t>
      </w:r>
    </w:p>
    <w:p w14:paraId="13632886" w14:textId="77777777" w:rsidR="00BD3A23" w:rsidRDefault="00BD3A23">
      <w:r>
        <w:t>• The Ritual Finger: Under the Levitical system, the priest used his 'etsba' to apply and sprinkle sacrificial blood on the horns of the altar. This physical, deliberate action emphasizes precise obedience and direct contact in the process of atonement.</w:t>
      </w:r>
    </w:p>
    <w:p w14:paraId="539624CA" w14:textId="77777777" w:rsidR="00BD3A23" w:rsidRDefault="00BD3A23">
      <w:r>
        <w:t>• The Finger of Judgment: During the plagues of Egypt, when the magicians could not replicate the plague of lice, they confessed to Pharaoh, "This is the finger of God" (Exodus 8:19). It was a recognition of supernatural intervention that transcended human or demonic trickery.</w:t>
      </w:r>
    </w:p>
    <w:p w14:paraId="711CCF17" w14:textId="77777777" w:rsidR="00BD3A23" w:rsidRDefault="00BD3A23">
      <w:r>
        <w:t>• The Finger of Creation: Psalm 8:3 describes the heavens as "the work of Your fingers." This paints a picture of God as an artist or craftsman, meticulously fashioning the stars and planets with delicate skill rather than merely tossing them into space.</w:t>
      </w:r>
    </w:p>
    <w:p w14:paraId="6223A29D" w14:textId="77777777" w:rsidR="00BD3A23" w:rsidRDefault="00BD3A23"/>
    <w:p w14:paraId="1BE28AE4" w14:textId="77777777" w:rsidR="00BD3A23" w:rsidRPr="00BD3A23" w:rsidRDefault="00BD3A23">
      <w:pPr>
        <w:rPr>
          <w:b/>
        </w:rPr>
      </w:pPr>
      <w:r w:rsidRPr="00BD3A23">
        <w:rPr>
          <w:b/>
        </w:rPr>
        <w:t>4. Theological Implications</w:t>
      </w:r>
    </w:p>
    <w:p w14:paraId="0AC8C1DE" w14:textId="77777777" w:rsidR="00BD3A23" w:rsidRDefault="00BD3A23">
      <w:r>
        <w:t>• Direct Revelation and Authority: The tablets of stone written with the "finger of God" establish the absolute, divine authority of the Decalogue. The moral law did not originate from Moses's intellect, nor was it compiled by human consensus. It was directly authored by God.</w:t>
      </w:r>
    </w:p>
    <w:p w14:paraId="4EE056B6" w14:textId="77777777" w:rsidR="00BD3A23" w:rsidRDefault="00BD3A23">
      <w:r>
        <w:t>• Permanence and Immutability: Writing on stone with the divine finger implies permanence. The moral standards of the covenant are enduring, etched into the bedrock of reality by the Creator Himself.</w:t>
      </w:r>
    </w:p>
    <w:p w14:paraId="1F9DA390" w14:textId="77777777" w:rsidR="00BD3A23" w:rsidRDefault="00BD3A23">
      <w:r>
        <w:t>• The Spirit's Agency: In the New Testament, Jesus links the "finger of God" with the Holy Spirit. In Luke 11:20, He states, "If I cast out demons with the finger of God, surely the kingdom of God has come upon you," which Matthew parallelly renders as "by the Spirit of God" (Matthew 12:28). This establishes a deep theological connection between the "finger of God" and the active agency of the Holy Spirit in revelation, power, and transformation.</w:t>
      </w:r>
    </w:p>
    <w:p w14:paraId="615E395C" w14:textId="77777777" w:rsidR="00BD3A23" w:rsidRDefault="00BD3A23"/>
    <w:p w14:paraId="73FFBD3F" w14:textId="77777777" w:rsidR="00BD3A23" w:rsidRPr="00BD3A23" w:rsidRDefault="00BD3A23">
      <w:pPr>
        <w:rPr>
          <w:b/>
        </w:rPr>
      </w:pPr>
      <w:r w:rsidRPr="00BD3A23">
        <w:rPr>
          <w:b/>
        </w:rPr>
        <w:t>5. Contextual Nuance in the Passage</w:t>
      </w:r>
    </w:p>
    <w:p w14:paraId="49DE16FE" w14:textId="77777777" w:rsidR="00BD3A23" w:rsidRDefault="00BD3A23">
      <w:r>
        <w:t>• In Exodus 31:18, the phrase occurs at the climax of Moses's forty days on Mount Sinai. After receiving the elaborate specifications for the tabernacle, the priesthood, and the Sabbath, Moses is given the physical proof of the covenant.</w:t>
      </w:r>
    </w:p>
    <w:p w14:paraId="678F578C" w14:textId="77777777" w:rsidR="00BD3A23" w:rsidRDefault="00BD3A23">
      <w:r>
        <w:t>• The contrast is sharp: while the Israelites are below fashioning a golden calf with human tools (Exodus 32:4), Moses is on the mountain receiving stone tablets engraved by the finger of God.</w:t>
      </w:r>
    </w:p>
    <w:p w14:paraId="44F72ACF" w14:textId="77777777" w:rsidR="00BD3A23" w:rsidRDefault="00BD3A23">
      <w:r>
        <w:t>• The "finger of God" here guarantees that the words on these tablets are a flawless, uncorrupted transcription of God’s own voice and character. It underscores the holiness of the law, making its subsequent breaking by Moses (upon seeing the golden calf) a vivid picture of Israel's direct violation of God's personal covenant.</w:t>
      </w:r>
    </w:p>
    <w:p w14:paraId="730EFF7E" w14:textId="77777777" w:rsidR="00BD3A23" w:rsidRDefault="00BD3A23"/>
    <w:p w14:paraId="5ABD81FF" w14:textId="77777777" w:rsidR="00BD3A23" w:rsidRPr="00BD3A23" w:rsidRDefault="00BD3A23">
      <w:pPr>
        <w:rPr>
          <w:b/>
        </w:rPr>
      </w:pPr>
      <w:r w:rsidRPr="00BD3A23">
        <w:rPr>
          <w:b/>
        </w:rPr>
        <w:t>6. Key Uses in Other Verses (NKJV)</w:t>
      </w:r>
    </w:p>
    <w:p w14:paraId="0C966F82" w14:textId="77777777" w:rsidR="00BD3A23" w:rsidRDefault="00BD3A23">
      <w:r>
        <w:t>• Exodus 8:19: "Then the magicians said to Pharaoh, 'This is the finger of God.' But Pharaoh’s heart grew hard, and he did not heed them, just as the LORD had said."</w:t>
      </w:r>
    </w:p>
    <w:p w14:paraId="005DA0D3" w14:textId="77777777" w:rsidR="00BD3A23" w:rsidRDefault="00BD3A23">
      <w:r>
        <w:t>• Leviticus 4:6: "The priest shall dip his finger in the blood and sprinkle some of the blood seven times before the LORD, in front of the veil of the sanctuary."</w:t>
      </w:r>
    </w:p>
    <w:p w14:paraId="524EFCFD" w14:textId="77777777" w:rsidR="00BD3A23" w:rsidRDefault="00BD3A23">
      <w:r>
        <w:t>• Deuteronomy 9:10: "Then the LORD delivered to me two tablets of stone written with the finger of God, and on them were all the words which the LORD had spoken to you on the mountain from the midst of the fire in the day of the assembly."</w:t>
      </w:r>
    </w:p>
    <w:p w14:paraId="19411355" w14:textId="77777777" w:rsidR="00BD3A23" w:rsidRDefault="00BD3A23">
      <w:r>
        <w:t>• Psalm 8:3: "When I consider Your heavens, the work of Your fingers, the moon and the stars, which You have ordained,"</w:t>
      </w:r>
    </w:p>
    <w:p w14:paraId="4924EC8E" w14:textId="77777777" w:rsidR="00BD3A23" w:rsidRDefault="00BD3A23"/>
    <w:p w14:paraId="4A54FF45" w14:textId="77777777" w:rsidR="00BD3A23" w:rsidRPr="00BD3A23" w:rsidRDefault="00BD3A23">
      <w:pPr>
        <w:rPr>
          <w:b/>
        </w:rPr>
      </w:pPr>
      <w:r w:rsidRPr="00BD3A23">
        <w:rPr>
          <w:b/>
        </w:rPr>
        <w:t>7. Other Relevant Insights</w:t>
      </w:r>
    </w:p>
    <w:p w14:paraId="5A6158E2" w14:textId="77777777" w:rsidR="00BD3A23" w:rsidRDefault="00BD3A23">
      <w:r>
        <w:t>• The Hebrew construct chain bə’eṣba‘ ’ĕlōhîm ("with the finger of God") emphasizes the directness of the action. It serves as an ancient literary device to rule out any human mediation in the engraving of the law.</w:t>
      </w:r>
    </w:p>
    <w:p w14:paraId="77CB9F44" w14:textId="77777777" w:rsidR="00BD3A23" w:rsidRDefault="00BD3A23">
      <w:r>
        <w:t>• This physical engraving on stone is later contrasted by the prophets Jeremiah and Ezekiel, who look forward to a new covenant where God does not write on stone tablets, but writes His law directly on human hearts (Jeremiah 31:33; Ezekiel 36:26-27), a concept Paul echoes in 2 Corinthians 3:3, contrasting tablets of stone with tablets of human hearts written by the Spirit of the living God.</w:t>
      </w:r>
    </w:p>
    <w:p w14:paraId="64A083D3" w14:textId="77777777" w:rsidR="00BD3A23" w:rsidRDefault="00BD3A23"/>
    <w:p w14:paraId="561CAC31" w14:textId="77777777" w:rsidR="00BD3A23" w:rsidRPr="00BD3A23" w:rsidRDefault="00BD3A23">
      <w:pPr>
        <w:rPr>
          <w:b/>
        </w:rPr>
      </w:pPr>
      <w:r w:rsidRPr="00BD3A23">
        <w:rPr>
          <w:b/>
        </w:rPr>
        <w:t>8. References</w:t>
      </w:r>
    </w:p>
    <w:p w14:paraId="157BD85D" w14:textId="77777777" w:rsidR="00BD3A23" w:rsidRDefault="00BD3A23">
      <w:r>
        <w:t>• Brown, Francis, S.R. Driver, and Charles A. Briggs. The Brown-Driver-Briggs Hebrew and English Lexicon.</w:t>
      </w:r>
    </w:p>
    <w:p w14:paraId="60342246" w14:textId="77777777" w:rsidR="00BD3A23" w:rsidRDefault="00BD3A23">
      <w:r>
        <w:t>• Harris, R. Laird, Gleason L. Archer Jr., and Bruce K. Waltke. Theological Wordbook of the Old Testament.</w:t>
      </w:r>
    </w:p>
    <w:p w14:paraId="18D386A2" w14:textId="77777777" w:rsidR="00BD3A23" w:rsidRDefault="00BD3A23">
      <w:r>
        <w:t>• Koehler, Ludwig, and Walter Baumgartner. The Hebrew and Aramaic Lexicon of the Old Testament.</w:t>
      </w:r>
    </w:p>
    <w:p w14:paraId="22A4DCD2" w14:textId="05E0B991" w:rsidR="004C5552" w:rsidRDefault="00BD3A23">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D3A23"/>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E1D2"/>
  <w15:chartTrackingRefBased/>
  <w15:docId w15:val="{BF4BA502-1A9A-4803-892F-38A8371C2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3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3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A23"/>
    <w:rPr>
      <w:rFonts w:eastAsiaTheme="majorEastAsia" w:cstheme="majorBidi"/>
      <w:color w:val="272727" w:themeColor="text1" w:themeTint="D8"/>
    </w:rPr>
  </w:style>
  <w:style w:type="paragraph" w:styleId="Title">
    <w:name w:val="Title"/>
    <w:basedOn w:val="Normal"/>
    <w:next w:val="Normal"/>
    <w:link w:val="TitleChar"/>
    <w:uiPriority w:val="10"/>
    <w:qFormat/>
    <w:rsid w:val="00BD3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A23"/>
    <w:pPr>
      <w:spacing w:before="160"/>
      <w:jc w:val="center"/>
    </w:pPr>
    <w:rPr>
      <w:i/>
      <w:iCs/>
      <w:color w:val="404040" w:themeColor="text1" w:themeTint="BF"/>
    </w:rPr>
  </w:style>
  <w:style w:type="character" w:customStyle="1" w:styleId="QuoteChar">
    <w:name w:val="Quote Char"/>
    <w:basedOn w:val="DefaultParagraphFont"/>
    <w:link w:val="Quote"/>
    <w:uiPriority w:val="29"/>
    <w:rsid w:val="00BD3A23"/>
    <w:rPr>
      <w:i/>
      <w:iCs/>
      <w:color w:val="404040" w:themeColor="text1" w:themeTint="BF"/>
    </w:rPr>
  </w:style>
  <w:style w:type="paragraph" w:styleId="ListParagraph">
    <w:name w:val="List Paragraph"/>
    <w:basedOn w:val="Normal"/>
    <w:uiPriority w:val="34"/>
    <w:qFormat/>
    <w:rsid w:val="00BD3A23"/>
    <w:pPr>
      <w:ind w:left="720"/>
      <w:contextualSpacing/>
    </w:pPr>
  </w:style>
  <w:style w:type="character" w:styleId="IntenseEmphasis">
    <w:name w:val="Intense Emphasis"/>
    <w:basedOn w:val="DefaultParagraphFont"/>
    <w:uiPriority w:val="21"/>
    <w:qFormat/>
    <w:rsid w:val="00BD3A23"/>
    <w:rPr>
      <w:i/>
      <w:iCs/>
      <w:color w:val="2E74B5" w:themeColor="accent1" w:themeShade="BF"/>
    </w:rPr>
  </w:style>
  <w:style w:type="paragraph" w:styleId="IntenseQuote">
    <w:name w:val="Intense Quote"/>
    <w:basedOn w:val="Normal"/>
    <w:next w:val="Normal"/>
    <w:link w:val="IntenseQuoteChar"/>
    <w:uiPriority w:val="30"/>
    <w:qFormat/>
    <w:rsid w:val="00BD3A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3A23"/>
    <w:rPr>
      <w:i/>
      <w:iCs/>
      <w:color w:val="2E74B5" w:themeColor="accent1" w:themeShade="BF"/>
    </w:rPr>
  </w:style>
  <w:style w:type="character" w:styleId="IntenseReference">
    <w:name w:val="Intense Reference"/>
    <w:basedOn w:val="DefaultParagraphFont"/>
    <w:uiPriority w:val="32"/>
    <w:qFormat/>
    <w:rsid w:val="00BD3A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5076</Characters>
  <Application>Microsoft Office Word</Application>
  <DocSecurity>0</DocSecurity>
  <Lines>42</Lines>
  <Paragraphs>11</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