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5187" w14:textId="77777777" w:rsidR="00AB14AD" w:rsidRPr="00AB14AD" w:rsidRDefault="00AB14AD">
      <w:pPr>
        <w:rPr>
          <w:b/>
        </w:rPr>
      </w:pPr>
      <w:r w:rsidRPr="00AB14AD">
        <w:rPr>
          <w:b/>
        </w:rPr>
        <w:t>WORK - ( ma'aseh , Strong's H4639 )</w:t>
      </w:r>
    </w:p>
    <w:p w14:paraId="6FB88CA8" w14:textId="77777777" w:rsidR="00AB14AD" w:rsidRDefault="00AB14AD">
      <w:r w:rsidRPr="00AB14AD">
        <w:rPr>
          <w:b/>
        </w:rPr>
        <w:t>Summary:</w:t>
      </w:r>
    </w:p>
    <w:p w14:paraId="0A547958" w14:textId="77777777" w:rsidR="00AB14AD" w:rsidRDefault="00AB14AD">
      <w:r>
        <w:t>The Hebrew noun ma'aseh refers to an action, deed, undertaking, or the physical product of labor and craftsmanship. In Exodus 32:16, it is used to describe the first set of stone tablets containing the Ten Commandments as the direct "work of God." This highlights their divine, unmediated origin; God Himself fashioned, shaped, and prepared the stones before engraving them, distinguishing them from the second set which Moses had to chisel out by hand. It underscores the perfection, authority, and holiness of the original covenant document.</w:t>
      </w:r>
    </w:p>
    <w:p w14:paraId="0C49BA4E" w14:textId="77777777" w:rsidR="00AB14AD" w:rsidRDefault="00AB14AD"/>
    <w:p w14:paraId="6C031D54" w14:textId="77777777" w:rsidR="00AB14AD" w:rsidRDefault="00AB14AD">
      <w:r w:rsidRPr="00AB14AD">
        <w:rPr>
          <w:b/>
        </w:rPr>
        <w:t>Full Study:</w:t>
      </w:r>
    </w:p>
    <w:p w14:paraId="792EBA14" w14:textId="77777777" w:rsidR="00AB14AD" w:rsidRDefault="00AB14AD"/>
    <w:p w14:paraId="3ABC1B10" w14:textId="77777777" w:rsidR="00AB14AD" w:rsidRPr="00AB14AD" w:rsidRDefault="00AB14AD">
      <w:pPr>
        <w:rPr>
          <w:b/>
        </w:rPr>
      </w:pPr>
      <w:r w:rsidRPr="00AB14AD">
        <w:rPr>
          <w:b/>
        </w:rPr>
        <w:t>1. Word Picture / Background</w:t>
      </w:r>
    </w:p>
    <w:p w14:paraId="584A214E" w14:textId="77777777" w:rsidR="00AB14AD" w:rsidRDefault="00AB14AD">
      <w:r>
        <w:t>• Ma'aseh is derived from the primary Hebrew root asah, a verb meaning "to do, make, fashion, prepare, or accomplish." While the verb focuses on the process of making, the noun ma'aseh focuses on the result of that action—the finished product or the completed deed. In the ancient Near East, the term was commonly used for the work of weavers, builders, artisans, and metalworkers. When applied to God, it carries a powerful word picture of Yahweh as a master craftsman, personally and intentionally shaping physical reality.</w:t>
      </w:r>
    </w:p>
    <w:p w14:paraId="424443F1" w14:textId="77777777" w:rsidR="00AB14AD" w:rsidRDefault="00AB14AD"/>
    <w:p w14:paraId="2CEC697D" w14:textId="77777777" w:rsidR="00AB14AD" w:rsidRPr="00AB14AD" w:rsidRDefault="00AB14AD">
      <w:pPr>
        <w:rPr>
          <w:b/>
        </w:rPr>
      </w:pPr>
      <w:r w:rsidRPr="00AB14AD">
        <w:rPr>
          <w:b/>
        </w:rPr>
        <w:t>2. Meaning / Lexical Definition</w:t>
      </w:r>
    </w:p>
    <w:p w14:paraId="588A00FB" w14:textId="77777777" w:rsidR="00AB14AD" w:rsidRDefault="00AB14AD">
      <w:r>
        <w:t>The noun ma'aseh encompasses several closely related meanings depending on its context:</w:t>
      </w:r>
    </w:p>
    <w:p w14:paraId="6374CFAC" w14:textId="77777777" w:rsidR="00AB14AD" w:rsidRDefault="00AB14AD">
      <w:r>
        <w:t>• The product of labor, manufacture, or handiwork (the most common usage, as seen in the physical tablets).</w:t>
      </w:r>
    </w:p>
    <w:p w14:paraId="7CD775DE" w14:textId="77777777" w:rsidR="00AB14AD" w:rsidRDefault="00AB14AD">
      <w:r>
        <w:t>• An act, deed, or transaction (referring to human conduct, whether righteous or wicked).</w:t>
      </w:r>
    </w:p>
    <w:p w14:paraId="38B1A430" w14:textId="77777777" w:rsidR="00AB14AD" w:rsidRDefault="00AB14AD">
      <w:r>
        <w:t>• An occupation, business, or daily labor.</w:t>
      </w:r>
    </w:p>
    <w:p w14:paraId="37F3924D" w14:textId="77777777" w:rsidR="00AB14AD" w:rsidRDefault="00AB14AD">
      <w:r>
        <w:t>In Exodus 32:16, the word is used in the first sense. The tablets of stone were the physical, tangible product of God’s own creative work, crafted without human intervention or tools.</w:t>
      </w:r>
    </w:p>
    <w:p w14:paraId="406B5A1D" w14:textId="77777777" w:rsidR="00AB14AD" w:rsidRDefault="00AB14AD"/>
    <w:p w14:paraId="7AB87A94" w14:textId="77777777" w:rsidR="00AB14AD" w:rsidRPr="00AB14AD" w:rsidRDefault="00AB14AD">
      <w:pPr>
        <w:rPr>
          <w:b/>
        </w:rPr>
      </w:pPr>
      <w:r w:rsidRPr="00AB14AD">
        <w:rPr>
          <w:b/>
        </w:rPr>
        <w:t>3. Usage and Word Pictures</w:t>
      </w:r>
    </w:p>
    <w:p w14:paraId="6E87F093" w14:textId="77777777" w:rsidR="00AB14AD" w:rsidRDefault="00AB14AD">
      <w:r>
        <w:t>Throughout the Old Testament, ma'aseh serves as a key theological term in two contrasting ways:</w:t>
      </w:r>
    </w:p>
    <w:p w14:paraId="1465BA1B" w14:textId="77777777" w:rsidR="00AB14AD" w:rsidRDefault="00AB14AD">
      <w:r>
        <w:t>• The Work of God's Hands: The heavens, the earth, and humanity are described as the ma'aseh of God's fingers or hands (Psalm 8:3, Psalm 19:1). This usage portrays the cosmos not as a random accident, but as an exquisite piece of art designed by a divine Creator.</w:t>
      </w:r>
    </w:p>
    <w:p w14:paraId="077442F8" w14:textId="77777777" w:rsidR="00AB14AD" w:rsidRDefault="00AB14AD">
      <w:r>
        <w:t>• The Work of Human Hands: Conversely, the scriptures frequently mock pagan idols as the mere ma'aseh of human hands (Deuteronomy 4:28, Isaiah 2:8). Human hands fashion dead, helpless objects, whereas God’s ma'aseh brings forth life, beauty, and absolute truth.</w:t>
      </w:r>
    </w:p>
    <w:p w14:paraId="50CD852D" w14:textId="77777777" w:rsidR="00AB14AD" w:rsidRDefault="00AB14AD"/>
    <w:p w14:paraId="40BB2ED6" w14:textId="77777777" w:rsidR="00AB14AD" w:rsidRPr="00AB14AD" w:rsidRDefault="00AB14AD">
      <w:pPr>
        <w:rPr>
          <w:b/>
        </w:rPr>
      </w:pPr>
      <w:r w:rsidRPr="00AB14AD">
        <w:rPr>
          <w:b/>
        </w:rPr>
        <w:t>4. Theological Implications</w:t>
      </w:r>
    </w:p>
    <w:p w14:paraId="3DD81FCA" w14:textId="77777777" w:rsidR="00AB14AD" w:rsidRDefault="00AB14AD">
      <w:r>
        <w:t>The designation of the tablets as the "work of God" establishes their absolute holiness and divine authority. God did not merely inspire Moses to write the law, nor did He simply tell Moses to find some stones. God Himself prepared the medium and wrote the message. This dual divine origin—the stone as God’s ma'aseh and the writing as God’s miktab—signifies that the moral law is an direct expression of God's character. Furthermore, this divine work stands in stark contrast to the golden calf described earlier in the chapter (Exodus 32:4), which was a corrupt and sinful ma'aseh made by human hands using human tools.</w:t>
      </w:r>
    </w:p>
    <w:p w14:paraId="1CDEEE0C" w14:textId="77777777" w:rsidR="00AB14AD" w:rsidRDefault="00AB14AD"/>
    <w:p w14:paraId="6CC1599B" w14:textId="77777777" w:rsidR="00AB14AD" w:rsidRPr="00AB14AD" w:rsidRDefault="00AB14AD">
      <w:pPr>
        <w:rPr>
          <w:b/>
        </w:rPr>
      </w:pPr>
      <w:r w:rsidRPr="00AB14AD">
        <w:rPr>
          <w:b/>
        </w:rPr>
        <w:t>5. Contextual Nuance in the Passage</w:t>
      </w:r>
    </w:p>
    <w:p w14:paraId="57D95D45" w14:textId="77777777" w:rsidR="00AB14AD" w:rsidRDefault="00AB14AD">
      <w:r>
        <w:t xml:space="preserve">In Exodus 32:16, the text emphasizes the complete absence of human agency: "Now the tablets were the work of God, and the writing was the writing of God, engraved on the tablets." This double emphasis on divine craftsmanship makes Moses’ subsequent action of shattering the tablets at the foot of the mountain (Exodus 32:19) exceptionally shocking. Breaking them was not just an act of anger; it was the literal destruction of a unique, divinely fashioned object. When God later renews the covenant in Exodus 34:1, the dynamic changes: God commands Moses to "cut two tablets of stone like the first ones." In the second giving of the law, the physical craftsmanship (ma'aseh) of the stone is delegated to Moses, though God still writes the words. </w:t>
      </w:r>
    </w:p>
    <w:p w14:paraId="39B30F18" w14:textId="77777777" w:rsidR="00AB14AD" w:rsidRDefault="00AB14AD"/>
    <w:p w14:paraId="3A5CC14C" w14:textId="77777777" w:rsidR="00AB14AD" w:rsidRPr="00AB14AD" w:rsidRDefault="00AB14AD">
      <w:pPr>
        <w:rPr>
          <w:b/>
        </w:rPr>
      </w:pPr>
      <w:r w:rsidRPr="00AB14AD">
        <w:rPr>
          <w:b/>
        </w:rPr>
        <w:t>6. Key Uses in Other Verses (NKJV)</w:t>
      </w:r>
    </w:p>
    <w:p w14:paraId="574AEAF5" w14:textId="77777777" w:rsidR="00AB14AD" w:rsidRDefault="00AB14AD">
      <w:r>
        <w:t>• Genesis 5:29 - "This one will comfort us concerning our work and the toil of our hands..."</w:t>
      </w:r>
    </w:p>
    <w:p w14:paraId="4949F5CD" w14:textId="77777777" w:rsidR="00AB14AD" w:rsidRDefault="00AB14AD">
      <w:r>
        <w:t>• Psalm 8:3 - "When I consider Your heavens, the work of Your fingers..."</w:t>
      </w:r>
    </w:p>
    <w:p w14:paraId="2117E99F" w14:textId="77777777" w:rsidR="00AB14AD" w:rsidRDefault="00AB14AD">
      <w:r>
        <w:t>• Psalm 19:1 - "The heavens declare the glory of God; And the firmament shows His handiwork."</w:t>
      </w:r>
    </w:p>
    <w:p w14:paraId="6154A21C" w14:textId="77777777" w:rsidR="00AB14AD" w:rsidRDefault="00AB14AD">
      <w:r>
        <w:t>• Isaiah 2:8 - "...They worship the work of their own hands..."</w:t>
      </w:r>
    </w:p>
    <w:p w14:paraId="3F165B9D" w14:textId="77777777" w:rsidR="00AB14AD" w:rsidRDefault="00AB14AD">
      <w:r>
        <w:t>• Ecclesiastes 12:14 - "For God will bring every work into judgment..."</w:t>
      </w:r>
    </w:p>
    <w:p w14:paraId="4B0025F4" w14:textId="77777777" w:rsidR="00AB14AD" w:rsidRDefault="00AB14AD"/>
    <w:p w14:paraId="6C64E208" w14:textId="77777777" w:rsidR="00AB14AD" w:rsidRPr="00AB14AD" w:rsidRDefault="00AB14AD">
      <w:pPr>
        <w:rPr>
          <w:b/>
        </w:rPr>
      </w:pPr>
      <w:r w:rsidRPr="00AB14AD">
        <w:rPr>
          <w:b/>
        </w:rPr>
        <w:t>7. Other Relevant Insights</w:t>
      </w:r>
    </w:p>
    <w:p w14:paraId="3A23451C" w14:textId="77777777" w:rsidR="00AB14AD" w:rsidRDefault="00AB14AD">
      <w:r>
        <w:t>The transition from the first set of tablets (entirely the work of God) to the second set (cooperatively prepared by Moses and written by God) provides a beautiful picture of the biblical concept of sanctification and ministry. Under the new covenant, God writes His law not on stones He chiseled Himself, but on the fleshly tablets of human hearts (2 Corinthians 3:3). Human vessels must be prepared, chiseled, and yielded (like the stones Moses cut) so that the divine Author can write His character upon them.</w:t>
      </w:r>
    </w:p>
    <w:p w14:paraId="234406C8" w14:textId="77777777" w:rsidR="00AB14AD" w:rsidRDefault="00AB14AD"/>
    <w:p w14:paraId="33050F9C" w14:textId="77777777" w:rsidR="00AB14AD" w:rsidRPr="00AB14AD" w:rsidRDefault="00AB14AD">
      <w:pPr>
        <w:rPr>
          <w:b/>
        </w:rPr>
      </w:pPr>
      <w:r w:rsidRPr="00AB14AD">
        <w:rPr>
          <w:b/>
        </w:rPr>
        <w:t>8. References</w:t>
      </w:r>
    </w:p>
    <w:p w14:paraId="521421BB" w14:textId="77777777" w:rsidR="00AB14AD" w:rsidRDefault="00AB14AD">
      <w:r>
        <w:t>• BDB, 795-796</w:t>
      </w:r>
    </w:p>
    <w:p w14:paraId="763FF57F" w14:textId="77777777" w:rsidR="00AB14AD" w:rsidRDefault="00AB14AD">
      <w:r>
        <w:t>• HALOT, 1:614-615</w:t>
      </w:r>
    </w:p>
    <w:p w14:paraId="114768E4" w14:textId="77777777" w:rsidR="00AB14AD" w:rsidRDefault="00AB14AD">
      <w:r>
        <w:t>• TWOT, 2:1708</w:t>
      </w:r>
    </w:p>
    <w:p w14:paraId="4C2CB9A6" w14:textId="77777777" w:rsidR="00AB14AD" w:rsidRDefault="00AB14AD">
      <w:r>
        <w:t>• NIDOTTE, 3:547-552</w:t>
      </w:r>
    </w:p>
    <w:p w14:paraId="54D19F28" w14:textId="6ADAF5F6" w:rsidR="004C5552" w:rsidRDefault="00AB14A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B14A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2285"/>
  <w15:chartTrackingRefBased/>
  <w15:docId w15:val="{95EAFBF0-C813-448A-AB8A-D90F5BEF0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AD"/>
    <w:rPr>
      <w:rFonts w:eastAsiaTheme="majorEastAsia" w:cstheme="majorBidi"/>
      <w:color w:val="272727" w:themeColor="text1" w:themeTint="D8"/>
    </w:rPr>
  </w:style>
  <w:style w:type="paragraph" w:styleId="Title">
    <w:name w:val="Title"/>
    <w:basedOn w:val="Normal"/>
    <w:next w:val="Normal"/>
    <w:link w:val="TitleChar"/>
    <w:uiPriority w:val="10"/>
    <w:qFormat/>
    <w:rsid w:val="00AB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AD"/>
    <w:pPr>
      <w:spacing w:before="160"/>
      <w:jc w:val="center"/>
    </w:pPr>
    <w:rPr>
      <w:i/>
      <w:iCs/>
      <w:color w:val="404040" w:themeColor="text1" w:themeTint="BF"/>
    </w:rPr>
  </w:style>
  <w:style w:type="character" w:customStyle="1" w:styleId="QuoteChar">
    <w:name w:val="Quote Char"/>
    <w:basedOn w:val="DefaultParagraphFont"/>
    <w:link w:val="Quote"/>
    <w:uiPriority w:val="29"/>
    <w:rsid w:val="00AB14AD"/>
    <w:rPr>
      <w:i/>
      <w:iCs/>
      <w:color w:val="404040" w:themeColor="text1" w:themeTint="BF"/>
    </w:rPr>
  </w:style>
  <w:style w:type="paragraph" w:styleId="ListParagraph">
    <w:name w:val="List Paragraph"/>
    <w:basedOn w:val="Normal"/>
    <w:uiPriority w:val="34"/>
    <w:qFormat/>
    <w:rsid w:val="00AB14AD"/>
    <w:pPr>
      <w:ind w:left="720"/>
      <w:contextualSpacing/>
    </w:pPr>
  </w:style>
  <w:style w:type="character" w:styleId="IntenseEmphasis">
    <w:name w:val="Intense Emphasis"/>
    <w:basedOn w:val="DefaultParagraphFont"/>
    <w:uiPriority w:val="21"/>
    <w:qFormat/>
    <w:rsid w:val="00AB14AD"/>
    <w:rPr>
      <w:i/>
      <w:iCs/>
      <w:color w:val="2E74B5" w:themeColor="accent1" w:themeShade="BF"/>
    </w:rPr>
  </w:style>
  <w:style w:type="paragraph" w:styleId="IntenseQuote">
    <w:name w:val="Intense Quote"/>
    <w:basedOn w:val="Normal"/>
    <w:next w:val="Normal"/>
    <w:link w:val="IntenseQuoteChar"/>
    <w:uiPriority w:val="30"/>
    <w:qFormat/>
    <w:rsid w:val="00AB14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14AD"/>
    <w:rPr>
      <w:i/>
      <w:iCs/>
      <w:color w:val="2E74B5" w:themeColor="accent1" w:themeShade="BF"/>
    </w:rPr>
  </w:style>
  <w:style w:type="character" w:styleId="IntenseReference">
    <w:name w:val="Intense Reference"/>
    <w:basedOn w:val="DefaultParagraphFont"/>
    <w:uiPriority w:val="32"/>
    <w:qFormat/>
    <w:rsid w:val="00AB14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