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DD01" w14:textId="77777777" w:rsidR="00926AA7" w:rsidRPr="00926AA7" w:rsidRDefault="00926AA7">
      <w:pPr>
        <w:rPr>
          <w:b/>
        </w:rPr>
      </w:pPr>
      <w:r w:rsidRPr="00926AA7">
        <w:rPr>
          <w:b/>
        </w:rPr>
        <w:t>COMMANDED - ( tsawah , Strong's H6680 )</w:t>
      </w:r>
    </w:p>
    <w:p w14:paraId="676F3C67" w14:textId="77777777" w:rsidR="00926AA7" w:rsidRDefault="00926AA7">
      <w:r w:rsidRPr="00926AA7">
        <w:rPr>
          <w:b/>
        </w:rPr>
        <w:t>Summary:</w:t>
      </w:r>
    </w:p>
    <w:p w14:paraId="585EFFB7" w14:textId="77777777" w:rsidR="00926AA7" w:rsidRDefault="00926AA7">
      <w:r>
        <w:t>The Hebrew verb tsawah denotes the action of giving an authoritative charge, laying down a binding decree, or commissioning a subordinate. In Exodus 32:8, Yahweh uses this term to describe the covenantal boundary He established for Israel at Mount Sinai, which the people shattered by making the golden calf. Rather than a mere suggestion or helpful advice, God’s tsawah is a sovereign line drawn in the sand of human history. The tragedy of Israel's actions lies in how quickly they turned aside from the specific "way" that God had authoritatively charged them to walk.</w:t>
      </w:r>
    </w:p>
    <w:p w14:paraId="38C6E2A9" w14:textId="77777777" w:rsidR="00926AA7" w:rsidRDefault="00926AA7"/>
    <w:p w14:paraId="289286C2" w14:textId="77777777" w:rsidR="00926AA7" w:rsidRDefault="00926AA7">
      <w:r w:rsidRPr="00926AA7">
        <w:rPr>
          <w:b/>
        </w:rPr>
        <w:t>Full Study:</w:t>
      </w:r>
    </w:p>
    <w:p w14:paraId="2FB1BC83" w14:textId="77777777" w:rsidR="00926AA7" w:rsidRDefault="00926AA7"/>
    <w:p w14:paraId="32CD2371" w14:textId="77777777" w:rsidR="00926AA7" w:rsidRPr="00926AA7" w:rsidRDefault="00926AA7">
      <w:pPr>
        <w:rPr>
          <w:b/>
        </w:rPr>
      </w:pPr>
      <w:r w:rsidRPr="00926AA7">
        <w:rPr>
          <w:b/>
        </w:rPr>
        <w:t xml:space="preserve"> 1. Word Picture / Background</w:t>
      </w:r>
    </w:p>
    <w:p w14:paraId="20A4E729" w14:textId="77777777" w:rsidR="00926AA7" w:rsidRDefault="00926AA7">
      <w:r>
        <w:t>In the ancient Near East, the root of tsawah carried the physical sense of setting up a monument, establishing a boundary marker, or ordering a pathway. When a king or a father issued a tsawah, he was not merely speaking words; he was setting up a structure or landmark for life. To ignore this command was equivalent to knocking down a physical boundary marker or deliberately stepping off a prepared, safe road into a dangerous wilderness. In the patriarchal structure, a father’s tsawah (as seen in Genesis 18:19) set the moral trajectory for his entire household. When applied to God, it represents His sovereign prerogative to arrange, order, and govern His creation and His covenant people.</w:t>
      </w:r>
    </w:p>
    <w:p w14:paraId="7AAB0FC5" w14:textId="77777777" w:rsidR="00926AA7" w:rsidRDefault="00926AA7"/>
    <w:p w14:paraId="12948826" w14:textId="77777777" w:rsidR="00926AA7" w:rsidRPr="00926AA7" w:rsidRDefault="00926AA7">
      <w:pPr>
        <w:rPr>
          <w:b/>
        </w:rPr>
      </w:pPr>
      <w:r w:rsidRPr="00926AA7">
        <w:rPr>
          <w:b/>
        </w:rPr>
        <w:t xml:space="preserve"> 2. Meaning / Lexical Definition</w:t>
      </w:r>
    </w:p>
    <w:p w14:paraId="2AAF98B8" w14:textId="77777777" w:rsidR="00926AA7" w:rsidRDefault="00926AA7">
      <w:r>
        <w:t>In the Piel stem (the intensive active form used in Exodus 32:8), tsawah means to command, charge, order, or commission. It signifies an exercise of authority where a superior imposes an obligation upon a subject. The word carries an inherent demand for obedience and execution. Unlike general speaking (dabar) or saying (amar), tsawah establishes a legal, moral, or divine obligation. It is the root word behind the Hebrew noun mitzvah (commandment), which forms the backbone of covenant law.</w:t>
      </w:r>
    </w:p>
    <w:p w14:paraId="03C46F7D" w14:textId="77777777" w:rsidR="00926AA7" w:rsidRDefault="00926AA7"/>
    <w:p w14:paraId="6C6F4F62" w14:textId="77777777" w:rsidR="00926AA7" w:rsidRPr="00926AA7" w:rsidRDefault="00926AA7">
      <w:pPr>
        <w:rPr>
          <w:b/>
        </w:rPr>
      </w:pPr>
      <w:r w:rsidRPr="00926AA7">
        <w:rPr>
          <w:b/>
        </w:rPr>
        <w:t xml:space="preserve"> 3. Usage and Word Pictures</w:t>
      </w:r>
    </w:p>
    <w:p w14:paraId="51317310" w14:textId="77777777" w:rsidR="00926AA7" w:rsidRDefault="00926AA7">
      <w:r>
        <w:t>Throughout the Old Testament, tsawah is used to demonstrate the absolute authority of the one speaking:</w:t>
      </w:r>
    </w:p>
    <w:p w14:paraId="413CCC60" w14:textId="77777777" w:rsidR="00926AA7" w:rsidRDefault="00926AA7">
      <w:r>
        <w:t>• Creative Authority: God commands the heavens and the earth into existence, and they stand firm (Psalm 33:9).</w:t>
      </w:r>
    </w:p>
    <w:p w14:paraId="4BB53407" w14:textId="77777777" w:rsidR="00926AA7" w:rsidRDefault="00926AA7">
      <w:r>
        <w:t>• Royal Authority: Kings issue decrees that cannot be altered, establishing the administrative order of their kingdoms.</w:t>
      </w:r>
    </w:p>
    <w:p w14:paraId="095506DE" w14:textId="77777777" w:rsidR="00926AA7" w:rsidRDefault="00926AA7">
      <w:r>
        <w:t>• Covenantal Authority: God charges His people with specific statutes and judgments that define their relationship with Him.</w:t>
      </w:r>
    </w:p>
    <w:p w14:paraId="45664613" w14:textId="77777777" w:rsidR="00926AA7" w:rsidRDefault="00926AA7">
      <w:r>
        <w:t>The primary word picture associated with tsawah is the marking out of a specific path. The command is the guardrail that keeps the traveler on the road; to violate the command is to willfully breach the guardrail and plunge into ruin.</w:t>
      </w:r>
    </w:p>
    <w:p w14:paraId="7E607DE3" w14:textId="77777777" w:rsidR="00926AA7" w:rsidRDefault="00926AA7"/>
    <w:p w14:paraId="30E93355" w14:textId="77777777" w:rsidR="00926AA7" w:rsidRPr="00926AA7" w:rsidRDefault="00926AA7">
      <w:pPr>
        <w:rPr>
          <w:b/>
        </w:rPr>
      </w:pPr>
      <w:r w:rsidRPr="00926AA7">
        <w:rPr>
          <w:b/>
        </w:rPr>
        <w:t xml:space="preserve"> 4. Theological Implications</w:t>
      </w:r>
    </w:p>
    <w:p w14:paraId="3A3D11BD" w14:textId="77777777" w:rsidR="00926AA7" w:rsidRDefault="00926AA7">
      <w:r>
        <w:t xml:space="preserve">Theologically, tsawah reveals that God is not a passive observer but a sovereign Lawgiver who actively orders reality and demands holiness. His commands are not arbitrary exercises of power; they are expressions of His holy character and are designed for the flourishing of His people. </w:t>
      </w:r>
    </w:p>
    <w:p w14:paraId="13F6F6DB" w14:textId="77777777" w:rsidR="00926AA7" w:rsidRDefault="00926AA7">
      <w:r>
        <w:t>• The Link to Covenant: God’s commands are the terms of the covenant. To receive the covenant is to receive the tsawah.</w:t>
      </w:r>
    </w:p>
    <w:p w14:paraId="28B2F067" w14:textId="77777777" w:rsidR="00926AA7" w:rsidRDefault="00926AA7">
      <w:r>
        <w:t>• The Gravity of Sin: Because a command comes from the Sovereign King, disobedience is not a minor mistake or a lapse in judgment. It is an act of high treason, a deliberate crossing of the boundaries established by the Creator.</w:t>
      </w:r>
    </w:p>
    <w:p w14:paraId="49003CE8" w14:textId="77777777" w:rsidR="00926AA7" w:rsidRDefault="00926AA7">
      <w:r>
        <w:t>• The Ground of Obedience: True biblical faith is always demonstrated by compliance with what God has commanded.</w:t>
      </w:r>
    </w:p>
    <w:p w14:paraId="4D2AA5FF" w14:textId="77777777" w:rsidR="00926AA7" w:rsidRDefault="00926AA7"/>
    <w:p w14:paraId="3D69E1BA" w14:textId="77777777" w:rsidR="00926AA7" w:rsidRPr="00926AA7" w:rsidRDefault="00926AA7">
      <w:pPr>
        <w:rPr>
          <w:b/>
        </w:rPr>
      </w:pPr>
      <w:r w:rsidRPr="00926AA7">
        <w:rPr>
          <w:b/>
        </w:rPr>
        <w:t xml:space="preserve"> 5. Contextual Nuance in the Passage</w:t>
      </w:r>
    </w:p>
    <w:p w14:paraId="4CAD2F90" w14:textId="77777777" w:rsidR="00926AA7" w:rsidRDefault="00926AA7">
      <w:r>
        <w:t xml:space="preserve">In Exodus 32:8, the use of tsawah carries a stinging reproach. God tells Moses, "They have turned aside quickly out of the way which I commanded them." </w:t>
      </w:r>
    </w:p>
    <w:p w14:paraId="709124B3" w14:textId="77777777" w:rsidR="00926AA7" w:rsidRDefault="00926AA7">
      <w:r>
        <w:t>• The Speed of Rebellion: The word "quickly" (maher) contrasts sharply with the enduring nature of God’s tsawah. Barely forty days prior, the mountain burned with fire, and the people heard the audible voice of God commanding them not to make idols (Exodus 20:4).</w:t>
      </w:r>
    </w:p>
    <w:p w14:paraId="3F7B9E09" w14:textId="77777777" w:rsidR="00926AA7" w:rsidRDefault="00926AA7">
      <w:r>
        <w:t>• The Specificity of the Way: The "way" (derek) refers to the path of worship and life outlined in the Decalogue. God had clearly marked the road. By making the molded calf, Israel did not just wander off; they consciously walked past the divine boundary marker that God had freshly and dramatically established.</w:t>
      </w:r>
    </w:p>
    <w:p w14:paraId="42BFC3AB" w14:textId="77777777" w:rsidR="00926AA7" w:rsidRDefault="00926AA7">
      <w:r>
        <w:t>• The Broken Relationship: By violating the tsawah, Israel severed the relational bond of the covenant, prompting God to refer to them to Moses as "your people whom you brought out of the land of Egypt," rather than His own.</w:t>
      </w:r>
    </w:p>
    <w:p w14:paraId="249AB6B5" w14:textId="77777777" w:rsidR="00926AA7" w:rsidRDefault="00926AA7"/>
    <w:p w14:paraId="256DAB4D" w14:textId="77777777" w:rsidR="00926AA7" w:rsidRPr="00926AA7" w:rsidRDefault="00926AA7">
      <w:pPr>
        <w:rPr>
          <w:b/>
        </w:rPr>
      </w:pPr>
      <w:r w:rsidRPr="00926AA7">
        <w:rPr>
          <w:b/>
        </w:rPr>
        <w:t xml:space="preserve"> 6. Key Uses in Other Verses (NKJV)</w:t>
      </w:r>
    </w:p>
    <w:p w14:paraId="7DCFBCDD" w14:textId="77777777" w:rsidR="00926AA7" w:rsidRDefault="00926AA7">
      <w:r>
        <w:t>• Genesis 6:22 - "Thus Noah did; according to all that God commanded him, so he did."</w:t>
      </w:r>
    </w:p>
    <w:p w14:paraId="40F643E5" w14:textId="77777777" w:rsidR="00926AA7" w:rsidRDefault="00926AA7">
      <w:r>
        <w:t>• Genesis 18:19 - "For I have known him, in order that he may command his children and his household after him, that they keep the way of the LORD, to do righteousness and justice..."</w:t>
      </w:r>
    </w:p>
    <w:p w14:paraId="5333A21F" w14:textId="77777777" w:rsidR="00926AA7" w:rsidRDefault="00926AA7">
      <w:r>
        <w:t>• Deuteronomy 4:13 - "So He declared to you His covenant which He commanded you to perform, the Ten Commandments; and He wrote them on two tablets of stone."</w:t>
      </w:r>
    </w:p>
    <w:p w14:paraId="58D1B2F8" w14:textId="77777777" w:rsidR="00926AA7" w:rsidRDefault="00926AA7">
      <w:r>
        <w:t>• Joshua 1:9 - "Have I not commanded you? Be strong and of good courage; do not be afraid, nor be dismayed, for the LORD your God is with you wherever you go."</w:t>
      </w:r>
    </w:p>
    <w:p w14:paraId="47CA8E3B" w14:textId="77777777" w:rsidR="00926AA7" w:rsidRDefault="00926AA7"/>
    <w:p w14:paraId="075D003D" w14:textId="77777777" w:rsidR="00926AA7" w:rsidRPr="00926AA7" w:rsidRDefault="00926AA7">
      <w:pPr>
        <w:rPr>
          <w:b/>
        </w:rPr>
      </w:pPr>
      <w:r w:rsidRPr="00926AA7">
        <w:rPr>
          <w:b/>
        </w:rPr>
        <w:t xml:space="preserve"> 7. Other Relevant Insights</w:t>
      </w:r>
    </w:p>
    <w:p w14:paraId="0E409E1A" w14:textId="77777777" w:rsidR="00926AA7" w:rsidRDefault="00926AA7">
      <w:r>
        <w:t>A helpful distinction exists between God's "saying" (amar) and His "commanding" (tsawah). While God says many things in Scripture—including words of comfort, prophecy, and revelation—His commands are the non-negotiable legal and moral stipulations of His kingdom. The tragedy of the golden calf incident is that Israel treated a divine tsawah as if it were a negotiable amar, redefining the parameters of worship to suit their own cultural comfort.</w:t>
      </w:r>
    </w:p>
    <w:p w14:paraId="2DDEB8C5" w14:textId="77777777" w:rsidR="00926AA7" w:rsidRDefault="00926AA7"/>
    <w:p w14:paraId="7C0F70EF" w14:textId="77777777" w:rsidR="00926AA7" w:rsidRPr="00926AA7" w:rsidRDefault="00926AA7">
      <w:pPr>
        <w:rPr>
          <w:b/>
        </w:rPr>
      </w:pPr>
      <w:r w:rsidRPr="00926AA7">
        <w:rPr>
          <w:b/>
        </w:rPr>
        <w:t xml:space="preserve"> 8. References</w:t>
      </w:r>
    </w:p>
    <w:p w14:paraId="2C22A487" w14:textId="77777777" w:rsidR="00926AA7" w:rsidRDefault="00926AA7">
      <w:r>
        <w:t>• BDB, s.v. "</w:t>
      </w:r>
      <w:r>
        <w:rPr>
          <w:rFonts w:ascii="Arial" w:hAnsi="Arial" w:cs="Arial"/>
        </w:rPr>
        <w:t>צוה</w:t>
      </w:r>
      <w:r>
        <w:t>"</w:t>
      </w:r>
    </w:p>
    <w:p w14:paraId="045D18C2" w14:textId="77777777" w:rsidR="00926AA7" w:rsidRDefault="00926AA7">
      <w:r>
        <w:rPr>
          <w:rFonts w:hint="eastAsia"/>
        </w:rPr>
        <w:t>•</w:t>
      </w:r>
      <w:r>
        <w:t xml:space="preserve"> HALOT, s.v. "</w:t>
      </w:r>
      <w:r>
        <w:rPr>
          <w:rFonts w:ascii="Arial" w:hAnsi="Arial" w:cs="Arial"/>
        </w:rPr>
        <w:t>צוה</w:t>
      </w:r>
      <w:r>
        <w:t>"</w:t>
      </w:r>
    </w:p>
    <w:p w14:paraId="7AE23862" w14:textId="77777777" w:rsidR="00926AA7" w:rsidRDefault="00926AA7">
      <w:r>
        <w:rPr>
          <w:rFonts w:hint="eastAsia"/>
        </w:rPr>
        <w:t>•</w:t>
      </w:r>
      <w:r>
        <w:t xml:space="preserve"> TWOT, s.v. "tsawah"</w:t>
      </w:r>
    </w:p>
    <w:p w14:paraId="4D4ED898" w14:textId="77777777" w:rsidR="00926AA7" w:rsidRDefault="00926AA7">
      <w:r>
        <w:rPr>
          <w:rFonts w:hint="eastAsia"/>
        </w:rPr>
        <w:t>•</w:t>
      </w:r>
      <w:r>
        <w:t xml:space="preserve"> NIDOTTE, s.v. "</w:t>
      </w:r>
      <w:r>
        <w:rPr>
          <w:rFonts w:ascii="Arial" w:hAnsi="Arial" w:cs="Arial"/>
        </w:rPr>
        <w:t>צוה</w:t>
      </w:r>
      <w:r>
        <w:t>"</w:t>
      </w:r>
    </w:p>
    <w:p w14:paraId="5A18BFCE" w14:textId="341AEAD9" w:rsidR="004C5552" w:rsidRDefault="00926AA7">
      <w:r>
        <w:rPr>
          <w:rFonts w:hint="eastAsia"/>
        </w:rPr>
        <w:t>•</w:t>
      </w:r>
      <w:r>
        <w:t xml:space="preserv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6AA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5F10"/>
  <w15:chartTrackingRefBased/>
  <w15:docId w15:val="{3410E3F6-AF94-4D1A-AC80-2014ED84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AA7"/>
    <w:rPr>
      <w:rFonts w:eastAsiaTheme="majorEastAsia" w:cstheme="majorBidi"/>
      <w:color w:val="272727" w:themeColor="text1" w:themeTint="D8"/>
    </w:rPr>
  </w:style>
  <w:style w:type="paragraph" w:styleId="Title">
    <w:name w:val="Title"/>
    <w:basedOn w:val="Normal"/>
    <w:next w:val="Normal"/>
    <w:link w:val="TitleChar"/>
    <w:uiPriority w:val="10"/>
    <w:qFormat/>
    <w:rsid w:val="00926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AA7"/>
    <w:pPr>
      <w:spacing w:before="160"/>
      <w:jc w:val="center"/>
    </w:pPr>
    <w:rPr>
      <w:i/>
      <w:iCs/>
      <w:color w:val="404040" w:themeColor="text1" w:themeTint="BF"/>
    </w:rPr>
  </w:style>
  <w:style w:type="character" w:customStyle="1" w:styleId="QuoteChar">
    <w:name w:val="Quote Char"/>
    <w:basedOn w:val="DefaultParagraphFont"/>
    <w:link w:val="Quote"/>
    <w:uiPriority w:val="29"/>
    <w:rsid w:val="00926AA7"/>
    <w:rPr>
      <w:i/>
      <w:iCs/>
      <w:color w:val="404040" w:themeColor="text1" w:themeTint="BF"/>
    </w:rPr>
  </w:style>
  <w:style w:type="paragraph" w:styleId="ListParagraph">
    <w:name w:val="List Paragraph"/>
    <w:basedOn w:val="Normal"/>
    <w:uiPriority w:val="34"/>
    <w:qFormat/>
    <w:rsid w:val="00926AA7"/>
    <w:pPr>
      <w:ind w:left="720"/>
      <w:contextualSpacing/>
    </w:pPr>
  </w:style>
  <w:style w:type="character" w:styleId="IntenseEmphasis">
    <w:name w:val="Intense Emphasis"/>
    <w:basedOn w:val="DefaultParagraphFont"/>
    <w:uiPriority w:val="21"/>
    <w:qFormat/>
    <w:rsid w:val="00926AA7"/>
    <w:rPr>
      <w:i/>
      <w:iCs/>
      <w:color w:val="2E74B5" w:themeColor="accent1" w:themeShade="BF"/>
    </w:rPr>
  </w:style>
  <w:style w:type="paragraph" w:styleId="IntenseQuote">
    <w:name w:val="Intense Quote"/>
    <w:basedOn w:val="Normal"/>
    <w:next w:val="Normal"/>
    <w:link w:val="IntenseQuoteChar"/>
    <w:uiPriority w:val="30"/>
    <w:qFormat/>
    <w:rsid w:val="00926A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AA7"/>
    <w:rPr>
      <w:i/>
      <w:iCs/>
      <w:color w:val="2E74B5" w:themeColor="accent1" w:themeShade="BF"/>
    </w:rPr>
  </w:style>
  <w:style w:type="character" w:styleId="IntenseReference">
    <w:name w:val="Intense Reference"/>
    <w:basedOn w:val="DefaultParagraphFont"/>
    <w:uiPriority w:val="32"/>
    <w:qFormat/>
    <w:rsid w:val="00926A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