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6302C" w14:textId="77777777" w:rsidR="007E08D8" w:rsidRPr="007E08D8" w:rsidRDefault="007E08D8">
      <w:pPr>
        <w:rPr>
          <w:b/>
        </w:rPr>
      </w:pPr>
      <w:r w:rsidRPr="007E08D8">
        <w:rPr>
          <w:b/>
        </w:rPr>
        <w:t>LIVE - ( chayay , Strong's H2425 )</w:t>
      </w:r>
    </w:p>
    <w:p w14:paraId="643FD872" w14:textId="77777777" w:rsidR="007E08D8" w:rsidRDefault="007E08D8">
      <w:r w:rsidRPr="007E08D8">
        <w:rPr>
          <w:b/>
        </w:rPr>
        <w:t>Summary:</w:t>
      </w:r>
    </w:p>
    <w:p w14:paraId="176F35F2" w14:textId="77777777" w:rsidR="007E08D8" w:rsidRDefault="007E08D8">
      <w:r>
        <w:t>The Hebrew verb chayay means to live, remain alive, or preserve life. In Exodus 33:20, it occurs in the context of the lethal holiness of God's unshielded presence. God declares to Moses that no mortal human can see His face and "live." In this passage, the word signifies physical survival and preservation of life, emphasizing the absolute ontological and moral gulf between a holy God and fallen humanity. While Moses enjoyed unparalleled intimacy with God, speaking with Him "face to face" as a friend, seeing the literal, unveiled essence (the "face") of Yahweh would result in immediate physical death. God's refusal to show His face is an act of mercy, ensuring that Moses may continue to live.</w:t>
      </w:r>
    </w:p>
    <w:p w14:paraId="4E7C696B" w14:textId="77777777" w:rsidR="007E08D8" w:rsidRDefault="007E08D8"/>
    <w:p w14:paraId="0FD2B25E" w14:textId="77777777" w:rsidR="007E08D8" w:rsidRDefault="007E08D8">
      <w:r w:rsidRPr="007E08D8">
        <w:rPr>
          <w:b/>
        </w:rPr>
        <w:t>Full Study:</w:t>
      </w:r>
    </w:p>
    <w:p w14:paraId="378A5BE8" w14:textId="77777777" w:rsidR="007E08D8" w:rsidRDefault="007E08D8"/>
    <w:p w14:paraId="7E4DFCA2" w14:textId="77777777" w:rsidR="007E08D8" w:rsidRPr="007E08D8" w:rsidRDefault="007E08D8">
      <w:pPr>
        <w:rPr>
          <w:b/>
        </w:rPr>
      </w:pPr>
      <w:r w:rsidRPr="007E08D8">
        <w:rPr>
          <w:b/>
        </w:rPr>
        <w:t xml:space="preserve"> 1. Word Picture / Background</w:t>
      </w:r>
    </w:p>
    <w:p w14:paraId="48E678CA" w14:textId="77777777" w:rsidR="007E08D8" w:rsidRDefault="007E08D8">
      <w:r>
        <w:t xml:space="preserve">The verb chayay (and its closely related counterpart chayah, Strong's H2421) is rooted in the concept of breath, vitality, and active movement. In the ancient Near Eastern world, life was not merely defined as the opposite of biological death, but as a state of vigor, movement, and relationship with the divine. To live was to be in the light, to breathe the breath of life given by the Creator, and to walk in safety. </w:t>
      </w:r>
    </w:p>
    <w:p w14:paraId="4E6F7A27" w14:textId="77777777" w:rsidR="007E08D8" w:rsidRDefault="007E08D8"/>
    <w:p w14:paraId="033C81A2" w14:textId="77777777" w:rsidR="007E08D8" w:rsidRDefault="007E08D8">
      <w:r>
        <w:t>In biblical thought, God is the source and sustainer of all life. However, a profound paradox exists: the very Source of life is so intensely holy that His unveiled presence is lethal to sinful, mortal flesh. The background of Exodus 33:20 involves Moses requesting to see God's naked glory. God's response establishes a boundary line: the physical frame of a mortal man cannot endure the raw, unmediated weight of the divine essence. To experience that sight would short-circuit human life, causing immediate physical expiration.</w:t>
      </w:r>
    </w:p>
    <w:p w14:paraId="6AA474B4" w14:textId="77777777" w:rsidR="007E08D8" w:rsidRDefault="007E08D8"/>
    <w:p w14:paraId="15D59F40" w14:textId="77777777" w:rsidR="007E08D8" w:rsidRPr="007E08D8" w:rsidRDefault="007E08D8">
      <w:pPr>
        <w:rPr>
          <w:b/>
        </w:rPr>
      </w:pPr>
      <w:r w:rsidRPr="007E08D8">
        <w:rPr>
          <w:b/>
        </w:rPr>
        <w:t xml:space="preserve"> 2. Meaning / Lexical Definition</w:t>
      </w:r>
    </w:p>
    <w:p w14:paraId="1733A708" w14:textId="77777777" w:rsidR="007E08D8" w:rsidRDefault="007E08D8">
      <w:r>
        <w:t xml:space="preserve">The verb chayay means to live, exist, sustain life, or be preserved from death. </w:t>
      </w:r>
    </w:p>
    <w:p w14:paraId="75610906" w14:textId="77777777" w:rsidR="007E08D8" w:rsidRDefault="007E08D8">
      <w:r>
        <w:t>• It denotes physical survival or the continuation of existence in the material world.</w:t>
      </w:r>
    </w:p>
    <w:p w14:paraId="5C0997D8" w14:textId="77777777" w:rsidR="007E08D8" w:rsidRDefault="007E08D8">
      <w:r>
        <w:t>• In the grammatical structure of Exodus 33:20, the word appears as a perfect verb with a vav-consecutive (ve-chay), functioning as a consequence: "No man shall see Me and live." The seeing of God and the continuation of earthly life are mutually exclusive.</w:t>
      </w:r>
    </w:p>
    <w:p w14:paraId="72D3B9D1" w14:textId="77777777" w:rsidR="007E08D8" w:rsidRDefault="007E08D8">
      <w:r>
        <w:t>• Lexically, Strong's distinguishes H2425 (chayay) from H2421 (chayah) primarily as morphological variations of the same root meaning "to live." They share the same semantic range, representing the state of being alive, recovering from sickness, or being spared from execution.</w:t>
      </w:r>
    </w:p>
    <w:p w14:paraId="09041E89" w14:textId="77777777" w:rsidR="007E08D8" w:rsidRDefault="007E08D8"/>
    <w:p w14:paraId="653DE034" w14:textId="77777777" w:rsidR="007E08D8" w:rsidRPr="007E08D8" w:rsidRDefault="007E08D8">
      <w:pPr>
        <w:rPr>
          <w:b/>
        </w:rPr>
      </w:pPr>
      <w:r w:rsidRPr="007E08D8">
        <w:rPr>
          <w:b/>
        </w:rPr>
        <w:t xml:space="preserve"> 3. Usage and Word Pictures</w:t>
      </w:r>
    </w:p>
    <w:p w14:paraId="24A6012E" w14:textId="77777777" w:rsidR="007E08D8" w:rsidRDefault="007E08D8">
      <w:r>
        <w:t>Throughout the Old Testament, living is frequently contrasted with dying (muth), and is pictured in several rich ways:</w:t>
      </w:r>
    </w:p>
    <w:p w14:paraId="6FC18DFE" w14:textId="77777777" w:rsidR="007E08D8" w:rsidRDefault="007E08D8">
      <w:r>
        <w:t>• The Breath of Life: To live is to have the active breath of God within oneself. When God withdraws His breath, creatures die; when He gives it, they live.</w:t>
      </w:r>
    </w:p>
    <w:p w14:paraId="2D69A70F" w14:textId="77777777" w:rsidR="007E08D8" w:rsidRDefault="007E08D8">
      <w:r>
        <w:t>• Walking in the Light: To live is to walk in the light of the living, whereas death is associated with darkness, silence, and the pit of Sheol.</w:t>
      </w:r>
    </w:p>
    <w:p w14:paraId="0385EC67" w14:textId="77777777" w:rsidR="007E08D8" w:rsidRDefault="007E08D8">
      <w:r>
        <w:t>• The Consuming Fire: God's holiness is often represented as a consuming fire. In this light, the word picture of "not living" when seeing God's face is like a dry branch being brought into the center of a raging furnace. The branch cannot "live" or remain intact in such an environment; it is instantly consumed.</w:t>
      </w:r>
    </w:p>
    <w:p w14:paraId="565D6550" w14:textId="77777777" w:rsidR="007E08D8" w:rsidRDefault="007E08D8"/>
    <w:p w14:paraId="44709177" w14:textId="77777777" w:rsidR="007E08D8" w:rsidRPr="007E08D8" w:rsidRDefault="007E08D8">
      <w:pPr>
        <w:rPr>
          <w:b/>
        </w:rPr>
      </w:pPr>
      <w:r w:rsidRPr="007E08D8">
        <w:rPr>
          <w:b/>
        </w:rPr>
        <w:t xml:space="preserve"> 4. Theological Implications</w:t>
      </w:r>
    </w:p>
    <w:p w14:paraId="22E0BAA1" w14:textId="77777777" w:rsidR="007E08D8" w:rsidRDefault="007E08D8">
      <w:r>
        <w:t>The statement "no man shall see Me, and live" carries profound theological weight:</w:t>
      </w:r>
    </w:p>
    <w:p w14:paraId="283869E7" w14:textId="77777777" w:rsidR="007E08D8" w:rsidRDefault="007E08D8">
      <w:r>
        <w:t>• The Transcendence and Holiness of God: God's holiness is not merely a moral category but an ontological reality. His presence is so pure, powerful, and majestic that fallen, finite creatures cannot process or survive it.</w:t>
      </w:r>
    </w:p>
    <w:p w14:paraId="173AD7A7" w14:textId="77777777" w:rsidR="007E08D8" w:rsidRDefault="007E08D8">
      <w:r>
        <w:t>• The Necessity of Mediation: Because humanity cannot see God and live, there must be a mediator. In the Old Covenant, Moses, the priesthood, and the veil of the Tabernacle acted as shields to protect the people from the lethal glory of God.</w:t>
      </w:r>
    </w:p>
    <w:p w14:paraId="74C36408" w14:textId="77777777" w:rsidR="007E08D8" w:rsidRDefault="007E08D8">
      <w:r>
        <w:t>• The Incarnation: This Old Testament boundary sets the stage for the New Testament revelation. In Jesus Christ, the glory of God was veiled in human flesh. John writes, "No one has seen God at any time. The only begotten Son... He has declared Him" (John 1:18). Through the incarnation, we are enabled to look upon God in the person of Jesus and truly live—both physically and eternally.</w:t>
      </w:r>
    </w:p>
    <w:p w14:paraId="114EB9DC" w14:textId="77777777" w:rsidR="007E08D8" w:rsidRDefault="007E08D8"/>
    <w:p w14:paraId="7D8525B7" w14:textId="77777777" w:rsidR="007E08D8" w:rsidRPr="007E08D8" w:rsidRDefault="007E08D8">
      <w:pPr>
        <w:rPr>
          <w:b/>
        </w:rPr>
      </w:pPr>
      <w:r w:rsidRPr="007E08D8">
        <w:rPr>
          <w:b/>
        </w:rPr>
        <w:t xml:space="preserve"> 5. Contextual Nuance in the Passage</w:t>
      </w:r>
    </w:p>
    <w:p w14:paraId="40A909AF" w14:textId="77777777" w:rsidR="007E08D8" w:rsidRDefault="007E08D8">
      <w:r>
        <w:t xml:space="preserve">In Exodus 33, Moses is pleading for reassurance after the golden calf disaster. He asks, "Please, show me Your glory" (v. 18). God responds by promising to make His goodness pass before Moses and to proclaim His name. However, He places a strict limitation on His face. </w:t>
      </w:r>
    </w:p>
    <w:p w14:paraId="097B4ED8" w14:textId="77777777" w:rsidR="007E08D8" w:rsidRDefault="007E08D8"/>
    <w:p w14:paraId="589A9C36" w14:textId="77777777" w:rsidR="007E08D8" w:rsidRDefault="007E08D8">
      <w:r>
        <w:t>The contextual nuance of chayay here is deeply pastoral. God's refusal to show Moses His face is not a denial born of anger or distance, but of protective grace. God is saying, "I love you too much to destroy you." He hides Moses in the cleft of the rock and covers him with His hand while His glory passes by. The limitation is designed so that Moses can experience the goodness of God and still live to tell of it.</w:t>
      </w:r>
    </w:p>
    <w:p w14:paraId="28A01CB6" w14:textId="77777777" w:rsidR="007E08D8" w:rsidRDefault="007E08D8"/>
    <w:p w14:paraId="698D6105" w14:textId="77777777" w:rsidR="007E08D8" w:rsidRPr="007E08D8" w:rsidRDefault="007E08D8">
      <w:pPr>
        <w:rPr>
          <w:b/>
        </w:rPr>
      </w:pPr>
      <w:r w:rsidRPr="007E08D8">
        <w:rPr>
          <w:b/>
        </w:rPr>
        <w:t xml:space="preserve"> 6. Key Uses in Other Verses (NKJV)</w:t>
      </w:r>
    </w:p>
    <w:p w14:paraId="1969B7A5" w14:textId="77777777" w:rsidR="007E08D8" w:rsidRDefault="007E08D8">
      <w:r>
        <w:t>• Genesis 3:22: "...and take also of the tree of life, and eat, and live forever"</w:t>
      </w:r>
    </w:p>
    <w:p w14:paraId="44E164E6" w14:textId="77777777" w:rsidR="007E08D8" w:rsidRDefault="007E08D8">
      <w:r>
        <w:t>• Deuteronomy 5:24: "...we have seen this day that God speaks with man and he lives."</w:t>
      </w:r>
    </w:p>
    <w:p w14:paraId="18185122" w14:textId="77777777" w:rsidR="007E08D8" w:rsidRDefault="007E08D8">
      <w:r>
        <w:t>• Deuteronomy 8:3: "...that He might make you know that man shall not live by bread alone..."</w:t>
      </w:r>
    </w:p>
    <w:p w14:paraId="670DDC1E" w14:textId="77777777" w:rsidR="007E08D8" w:rsidRDefault="007E08D8">
      <w:r>
        <w:t>• Nehemiah 9:29: "...which if a man does, he shall live by them."</w:t>
      </w:r>
    </w:p>
    <w:p w14:paraId="528256E4" w14:textId="77777777" w:rsidR="007E08D8" w:rsidRDefault="007E08D8"/>
    <w:p w14:paraId="2549C1E5" w14:textId="77777777" w:rsidR="007E08D8" w:rsidRPr="007E08D8" w:rsidRDefault="007E08D8">
      <w:pPr>
        <w:rPr>
          <w:b/>
        </w:rPr>
      </w:pPr>
      <w:r w:rsidRPr="007E08D8">
        <w:rPr>
          <w:b/>
        </w:rPr>
        <w:t xml:space="preserve"> 7. Other Relevant Insights</w:t>
      </w:r>
    </w:p>
    <w:p w14:paraId="712A8F67" w14:textId="77777777" w:rsidR="007E08D8" w:rsidRDefault="007E08D8">
      <w:r>
        <w:t xml:space="preserve">In the Septuagint (the ancient Greek translation of the Old Testament), the Hebrew ve-chay ("and live") is translated using the Greek verb zao ("shall live"). This is the same verb used by Jesus when He claims to be the "living bread" (John 6:51) and promises that "because I live, you will live also" (John 14:19). </w:t>
      </w:r>
    </w:p>
    <w:p w14:paraId="22E7CB69" w14:textId="77777777" w:rsidR="007E08D8" w:rsidRDefault="007E08D8"/>
    <w:p w14:paraId="37BDB5C3" w14:textId="77777777" w:rsidR="007E08D8" w:rsidRDefault="007E08D8">
      <w:r>
        <w:t>The ultimate hope of the believer is the "beatific vision"—the promise that one day, when we are fully glorified and freed from sin, we will see His face. Revelation 22:4 promises of the New Jerusalem: "They shall see His face, and His name shall be on their foreheads." Through the redemptive work of Christ, the lethal barrier of Exodus 33:20 is removed, and seeing God's face becomes the very source of our eternal life.</w:t>
      </w:r>
    </w:p>
    <w:p w14:paraId="15760E79" w14:textId="77777777" w:rsidR="007E08D8" w:rsidRDefault="007E08D8"/>
    <w:p w14:paraId="7DBF09F1" w14:textId="77777777" w:rsidR="007E08D8" w:rsidRPr="007E08D8" w:rsidRDefault="007E08D8">
      <w:pPr>
        <w:rPr>
          <w:b/>
        </w:rPr>
      </w:pPr>
      <w:r w:rsidRPr="007E08D8">
        <w:rPr>
          <w:b/>
        </w:rPr>
        <w:t xml:space="preserve"> 8. References</w:t>
      </w:r>
    </w:p>
    <w:p w14:paraId="5E50F105" w14:textId="77777777" w:rsidR="007E08D8" w:rsidRDefault="007E08D8">
      <w:r>
        <w:t>• Brown-Driver-Briggs Hebrew and English Lexicon</w:t>
      </w:r>
    </w:p>
    <w:p w14:paraId="11E5111A" w14:textId="77777777" w:rsidR="007E08D8" w:rsidRDefault="007E08D8">
      <w:r>
        <w:t>• Hebrew-Aramaic Lexicon of the Old Testament (HALOT)</w:t>
      </w:r>
    </w:p>
    <w:p w14:paraId="43DD95FD" w14:textId="77777777" w:rsidR="007E08D8" w:rsidRDefault="007E08D8">
      <w:r>
        <w:t>• Theological Wordbook of the Old Testament (TWOT)</w:t>
      </w:r>
    </w:p>
    <w:p w14:paraId="0F1D3BB8" w14:textId="77777777" w:rsidR="007E08D8" w:rsidRDefault="007E08D8">
      <w:r>
        <w:t>• Strong's Exhaustive Concordance of the Bible</w:t>
      </w:r>
    </w:p>
    <w:p w14:paraId="7763727C" w14:textId="6F88C966" w:rsidR="004C5552" w:rsidRDefault="007E08D8">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E08D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7497"/>
  <w15:chartTrackingRefBased/>
  <w15:docId w15:val="{C2B9EDC3-9C97-48E5-860D-7414727F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0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0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8D8"/>
    <w:rPr>
      <w:rFonts w:eastAsiaTheme="majorEastAsia" w:cstheme="majorBidi"/>
      <w:color w:val="272727" w:themeColor="text1" w:themeTint="D8"/>
    </w:rPr>
  </w:style>
  <w:style w:type="paragraph" w:styleId="Title">
    <w:name w:val="Title"/>
    <w:basedOn w:val="Normal"/>
    <w:next w:val="Normal"/>
    <w:link w:val="TitleChar"/>
    <w:uiPriority w:val="10"/>
    <w:qFormat/>
    <w:rsid w:val="007E0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8D8"/>
    <w:pPr>
      <w:spacing w:before="160"/>
      <w:jc w:val="center"/>
    </w:pPr>
    <w:rPr>
      <w:i/>
      <w:iCs/>
      <w:color w:val="404040" w:themeColor="text1" w:themeTint="BF"/>
    </w:rPr>
  </w:style>
  <w:style w:type="character" w:customStyle="1" w:styleId="QuoteChar">
    <w:name w:val="Quote Char"/>
    <w:basedOn w:val="DefaultParagraphFont"/>
    <w:link w:val="Quote"/>
    <w:uiPriority w:val="29"/>
    <w:rsid w:val="007E08D8"/>
    <w:rPr>
      <w:i/>
      <w:iCs/>
      <w:color w:val="404040" w:themeColor="text1" w:themeTint="BF"/>
    </w:rPr>
  </w:style>
  <w:style w:type="paragraph" w:styleId="ListParagraph">
    <w:name w:val="List Paragraph"/>
    <w:basedOn w:val="Normal"/>
    <w:uiPriority w:val="34"/>
    <w:qFormat/>
    <w:rsid w:val="007E08D8"/>
    <w:pPr>
      <w:ind w:left="720"/>
      <w:contextualSpacing/>
    </w:pPr>
  </w:style>
  <w:style w:type="character" w:styleId="IntenseEmphasis">
    <w:name w:val="Intense Emphasis"/>
    <w:basedOn w:val="DefaultParagraphFont"/>
    <w:uiPriority w:val="21"/>
    <w:qFormat/>
    <w:rsid w:val="007E08D8"/>
    <w:rPr>
      <w:i/>
      <w:iCs/>
      <w:color w:val="2E74B5" w:themeColor="accent1" w:themeShade="BF"/>
    </w:rPr>
  </w:style>
  <w:style w:type="paragraph" w:styleId="IntenseQuote">
    <w:name w:val="Intense Quote"/>
    <w:basedOn w:val="Normal"/>
    <w:next w:val="Normal"/>
    <w:link w:val="IntenseQuoteChar"/>
    <w:uiPriority w:val="30"/>
    <w:qFormat/>
    <w:rsid w:val="007E08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08D8"/>
    <w:rPr>
      <w:i/>
      <w:iCs/>
      <w:color w:val="2E74B5" w:themeColor="accent1" w:themeShade="BF"/>
    </w:rPr>
  </w:style>
  <w:style w:type="character" w:styleId="IntenseReference">
    <w:name w:val="Intense Reference"/>
    <w:basedOn w:val="DefaultParagraphFont"/>
    <w:uiPriority w:val="32"/>
    <w:qFormat/>
    <w:rsid w:val="007E08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