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C7E14" w14:textId="77777777" w:rsidR="009B7FA0" w:rsidRPr="009B7FA0" w:rsidRDefault="009B7FA0">
      <w:pPr>
        <w:rPr>
          <w:b/>
        </w:rPr>
      </w:pPr>
      <w:r w:rsidRPr="009B7FA0">
        <w:rPr>
          <w:b/>
        </w:rPr>
        <w:t>FACE - ( panim , Strong's H6440 )</w:t>
      </w:r>
    </w:p>
    <w:p w14:paraId="607679FD" w14:textId="77777777" w:rsidR="009B7FA0" w:rsidRDefault="009B7FA0">
      <w:r w:rsidRPr="009B7FA0">
        <w:rPr>
          <w:b/>
        </w:rPr>
        <w:t>Summary:</w:t>
      </w:r>
    </w:p>
    <w:p w14:paraId="154121E6" w14:textId="77777777" w:rsidR="009B7FA0" w:rsidRDefault="009B7FA0">
      <w:r>
        <w:t>The Hebrew word panim literally means "face" or "presence." Derived from a root meaning "to turn," it represents the front, the outward expression, and the personal presence of an individual. In Exodus 33:20, panim refers to the full, unshielded manifestation of Yahweh’s personal glory, character, and essence. While Moses is granted a view of God’s "back" (His tempered trailing glory), God’s "face" represents an absolute exposure to His holy majesty that mortal, fallen humans cannot survive. This word underscores the tension between God’s desire for deep personal relationship with His people and the absolute barrier that His holy perfection presents to sinful humanity.</w:t>
      </w:r>
    </w:p>
    <w:p w14:paraId="60FCD209" w14:textId="77777777" w:rsidR="009B7FA0" w:rsidRDefault="009B7FA0"/>
    <w:p w14:paraId="0A8F3C39" w14:textId="77777777" w:rsidR="009B7FA0" w:rsidRDefault="009B7FA0">
      <w:r w:rsidRPr="009B7FA0">
        <w:rPr>
          <w:b/>
        </w:rPr>
        <w:t>Full Study:</w:t>
      </w:r>
    </w:p>
    <w:p w14:paraId="64715963" w14:textId="77777777" w:rsidR="009B7FA0" w:rsidRDefault="009B7FA0"/>
    <w:p w14:paraId="03949CC1" w14:textId="77777777" w:rsidR="009B7FA0" w:rsidRPr="009B7FA0" w:rsidRDefault="009B7FA0">
      <w:pPr>
        <w:rPr>
          <w:b/>
        </w:rPr>
      </w:pPr>
      <w:r w:rsidRPr="009B7FA0">
        <w:rPr>
          <w:b/>
        </w:rPr>
        <w:t xml:space="preserve"> 1. Word Picture / Background</w:t>
      </w:r>
    </w:p>
    <w:p w14:paraId="0F1BCF89" w14:textId="77777777" w:rsidR="009B7FA0" w:rsidRDefault="009B7FA0">
      <w:r>
        <w:t xml:space="preserve">The noun panim is etymologically related to the verb panah, which means "to turn" or "to face." The face is literally the part of a person that turns toward another to engage, communicate, or show favor. </w:t>
      </w:r>
    </w:p>
    <w:p w14:paraId="3A14BE40" w14:textId="77777777" w:rsidR="009B7FA0" w:rsidRDefault="009B7FA0"/>
    <w:p w14:paraId="51C7C985" w14:textId="77777777" w:rsidR="009B7FA0" w:rsidRDefault="009B7FA0">
      <w:r>
        <w:t>Grammatically, panim is always plural in form, even when referring to a single face. This plural of composition or extension reflects the many facets, features, and shifting expressions of the human countenance (eyes, nose, mouth, brow) that together project a single personal identity. The ancient Near Eastern mind did not view the face merely as an anatomical feature, but as the outward presentation of the inner person. To see someone’s face was to have direct access to their thoughts, emotions, disposition, and personal presence.</w:t>
      </w:r>
    </w:p>
    <w:p w14:paraId="012C5ADA" w14:textId="77777777" w:rsidR="009B7FA0" w:rsidRDefault="009B7FA0"/>
    <w:p w14:paraId="2934BBB5" w14:textId="77777777" w:rsidR="009B7FA0" w:rsidRPr="009B7FA0" w:rsidRDefault="009B7FA0">
      <w:pPr>
        <w:rPr>
          <w:b/>
        </w:rPr>
      </w:pPr>
      <w:r w:rsidRPr="009B7FA0">
        <w:rPr>
          <w:b/>
        </w:rPr>
        <w:t xml:space="preserve"> 2. Meaning / Lexical Definition</w:t>
      </w:r>
    </w:p>
    <w:p w14:paraId="1D16AE39" w14:textId="77777777" w:rsidR="009B7FA0" w:rsidRDefault="009B7FA0">
      <w:r>
        <w:t>The noun panim denotes the front part of the head, the countenance, or the face. Because the face represents the presence of the person, the word frequently carries the spatial and relational meaning of "presence" or "before" (often prefixed as liphne, meaning "to the face of" or "in the presence of").</w:t>
      </w:r>
    </w:p>
    <w:p w14:paraId="023DE9FD" w14:textId="77777777" w:rsidR="009B7FA0" w:rsidRDefault="009B7FA0"/>
    <w:p w14:paraId="766C3A03" w14:textId="77777777" w:rsidR="009B7FA0" w:rsidRDefault="009B7FA0">
      <w:r>
        <w:t>When applied to God, panim indicates His personal presence, His active attention, or His relational disposition toward humanity. Depending on the context, this disposition can be favorable (shining His face upon someone), unfavorable (setting His face against evildoers), or transcendent (His direct, unveiled divine essence). In Exodus 33:20, the word represents the ultimate, unmitigated reality of God's holy being.</w:t>
      </w:r>
    </w:p>
    <w:p w14:paraId="151AA888" w14:textId="77777777" w:rsidR="009B7FA0" w:rsidRDefault="009B7FA0"/>
    <w:p w14:paraId="0D3117C8" w14:textId="77777777" w:rsidR="009B7FA0" w:rsidRPr="009B7FA0" w:rsidRDefault="009B7FA0">
      <w:pPr>
        <w:rPr>
          <w:b/>
        </w:rPr>
      </w:pPr>
      <w:r w:rsidRPr="009B7FA0">
        <w:rPr>
          <w:b/>
        </w:rPr>
        <w:t xml:space="preserve"> 3. Usage and Word Pictures</w:t>
      </w:r>
    </w:p>
    <w:p w14:paraId="11A07507" w14:textId="77777777" w:rsidR="009B7FA0" w:rsidRDefault="009B7FA0">
      <w:r>
        <w:t>Throughout the Old Testament, panim is used in rich idiomatic expressions that paint vivid word pictures of relational dynamics:</w:t>
      </w:r>
    </w:p>
    <w:p w14:paraId="2402CF75" w14:textId="77777777" w:rsidR="009B7FA0" w:rsidRDefault="009B7FA0">
      <w:r>
        <w:t>• The Countenance as a Mirror of the Heart: A fallen face indicates anger or depression (Genesis 4:5), while a bright face indicates joy or approval (Job 29:24).</w:t>
      </w:r>
    </w:p>
    <w:p w14:paraId="3FA35A91" w14:textId="77777777" w:rsidR="009B7FA0" w:rsidRDefault="009B7FA0">
      <w:r>
        <w:t>• Face as Personal Presence: In Exodus 33:14, God promises Moses, "My Presence [literally, My Face] will go with you." Relational intimacy is pictured as being in the immediate presence of God's face.</w:t>
      </w:r>
    </w:p>
    <w:p w14:paraId="0316005B" w14:textId="77777777" w:rsidR="009B7FA0" w:rsidRDefault="009B7FA0">
      <w:r>
        <w:t>• The Bread of the Presence: The Tabernacle contained the lechem happanim (Exodus 25:30), literally "the Bread of the Face." This bread stood perpetually in the Holy Place as a visual reminder of the twelve tribes living in constant communion before the face of God.</w:t>
      </w:r>
    </w:p>
    <w:p w14:paraId="782C060E" w14:textId="77777777" w:rsidR="009B7FA0" w:rsidRDefault="009B7FA0">
      <w:r>
        <w:t>• Hiding the Face: When God hides His face (hastir panim), it depicts the withdrawal of His favor, protection, or fellowship, leaving humanity in distress (Psalm 13:1).</w:t>
      </w:r>
    </w:p>
    <w:p w14:paraId="7EC4FC2E" w14:textId="77777777" w:rsidR="009B7FA0" w:rsidRDefault="009B7FA0"/>
    <w:p w14:paraId="5FD23482" w14:textId="77777777" w:rsidR="009B7FA0" w:rsidRPr="009B7FA0" w:rsidRDefault="009B7FA0">
      <w:pPr>
        <w:rPr>
          <w:b/>
        </w:rPr>
      </w:pPr>
      <w:r w:rsidRPr="009B7FA0">
        <w:rPr>
          <w:b/>
        </w:rPr>
        <w:t xml:space="preserve"> 4. Theological Implications</w:t>
      </w:r>
    </w:p>
    <w:p w14:paraId="3CC75459" w14:textId="77777777" w:rsidR="009B7FA0" w:rsidRDefault="009B7FA0">
      <w:r>
        <w:t>The prohibition in Exodus 33:20 ("You cannot see My face; for no man shall see Me, and live") highlights a central biblical tension: the absolute holiness of God versus the fallen state of humanity.</w:t>
      </w:r>
    </w:p>
    <w:p w14:paraId="56165EE9" w14:textId="77777777" w:rsidR="009B7FA0" w:rsidRDefault="009B7FA0">
      <w:r>
        <w:t>• The Danger of Holiness: God’s panim is not dangerous because He is malicious, but because He is infinitely holy. Just as the physical eye cannot look directly into the sun without being blinded, the human soul cannot endure the raw, unmitigated exposure of the Creator’s holy essence.</w:t>
      </w:r>
    </w:p>
    <w:p w14:paraId="2E8ECCAF" w14:textId="77777777" w:rsidR="009B7FA0" w:rsidRDefault="009B7FA0">
      <w:r>
        <w:t>• The Mercy of Retraction: God's refusal to show Moses His face is an act of grace. God shields Moses in the cleft of the rock to preserve his life, showing that God regulates the manifestation of His presence so that His servants are not consumed.</w:t>
      </w:r>
    </w:p>
    <w:p w14:paraId="209D6552" w14:textId="77777777" w:rsidR="009B7FA0" w:rsidRDefault="009B7FA0">
      <w:r>
        <w:t>• The Ultimate Revelation in Christ: This Old Testament boundary sets the stage for the New Testament incarnation. What Moses could not do, believers experience through Jesus. Christ is the "image of the invisible God" (Colossians 1:15), and the "light of the knowledge of the glory of God" is now safely and beautifully revealed "in the face of Jesus Christ" (2 Corinthians 4:6).</w:t>
      </w:r>
    </w:p>
    <w:p w14:paraId="5393503A" w14:textId="77777777" w:rsidR="009B7FA0" w:rsidRDefault="009B7FA0"/>
    <w:p w14:paraId="367D7FB4" w14:textId="77777777" w:rsidR="009B7FA0" w:rsidRPr="009B7FA0" w:rsidRDefault="009B7FA0">
      <w:pPr>
        <w:rPr>
          <w:b/>
        </w:rPr>
      </w:pPr>
      <w:r w:rsidRPr="009B7FA0">
        <w:rPr>
          <w:b/>
        </w:rPr>
        <w:t xml:space="preserve"> 5. Contextual Nuance in the Passage</w:t>
      </w:r>
    </w:p>
    <w:p w14:paraId="6C8E969D" w14:textId="77777777" w:rsidR="009B7FA0" w:rsidRDefault="009B7FA0">
      <w:r>
        <w:t xml:space="preserve">In Exodus 33, Moses pleads with God, "Please, show me Your glory" (v. 18). God responds by promising to make His "goodness" pass before Moses and to proclaim His "name" (v. 19). However, God draws a strict boundary at His "face" (panim). </w:t>
      </w:r>
    </w:p>
    <w:p w14:paraId="4DC64A87" w14:textId="77777777" w:rsidR="009B7FA0" w:rsidRDefault="009B7FA0"/>
    <w:p w14:paraId="37322078" w14:textId="77777777" w:rsidR="009B7FA0" w:rsidRDefault="009B7FA0">
      <w:r>
        <w:t>The narrative sets up a deliberate contrast between God's "face" (panim) and His "back" (achor in v. 23). While panim represents the direct, overwhelming essence of His glory, achor represents the tempered "afterglow" or trailing reflection of His divine majesty. By showing Moses His back and proclaiming His character (Exodus 34:6-7), God reveals His heart without destroying His servant. The context demonstrates that true knowledge of God is found not in looking upon His unapproachable majesty, but in hearing His proclaimed name and experiencing His covenant goodness.</w:t>
      </w:r>
    </w:p>
    <w:p w14:paraId="3CC544B8" w14:textId="77777777" w:rsidR="009B7FA0" w:rsidRDefault="009B7FA0"/>
    <w:p w14:paraId="0CCFA3F3" w14:textId="77777777" w:rsidR="009B7FA0" w:rsidRPr="009B7FA0" w:rsidRDefault="009B7FA0">
      <w:pPr>
        <w:rPr>
          <w:b/>
        </w:rPr>
      </w:pPr>
      <w:r w:rsidRPr="009B7FA0">
        <w:rPr>
          <w:b/>
        </w:rPr>
        <w:t xml:space="preserve"> 6. Key Uses in Other Verses (NKJV)</w:t>
      </w:r>
    </w:p>
    <w:p w14:paraId="3A4520FB" w14:textId="77777777" w:rsidR="009B7FA0" w:rsidRDefault="009B7FA0">
      <w:r>
        <w:t>• Genesis 32:30: "And Jacob called the name of the place Peniel: 'For I have seen God face to face, and my life is preserved.'"</w:t>
      </w:r>
    </w:p>
    <w:p w14:paraId="244EE335" w14:textId="77777777" w:rsidR="009B7FA0" w:rsidRDefault="009B7FA0">
      <w:r>
        <w:t>• Numbers 6:25: "The LORD make His face shine upon you, And be gracious to you;"</w:t>
      </w:r>
    </w:p>
    <w:p w14:paraId="1E794741" w14:textId="77777777" w:rsidR="009B7FA0" w:rsidRDefault="009B7FA0">
      <w:r>
        <w:t>• Deuteronomy 34:10: "But since then there has not arisen in Israel a prophet like Moses, whom the LORD knew face to face,"</w:t>
      </w:r>
    </w:p>
    <w:p w14:paraId="3DA736AB" w14:textId="77777777" w:rsidR="009B7FA0" w:rsidRDefault="009B7FA0">
      <w:r>
        <w:t>• Psalm 27:8: "When You said, 'Seek My face,' My heart said to You, 'Your face, LORD, I will seek.'"</w:t>
      </w:r>
    </w:p>
    <w:p w14:paraId="553493EC" w14:textId="77777777" w:rsidR="009B7FA0" w:rsidRDefault="009B7FA0"/>
    <w:p w14:paraId="0B2E7615" w14:textId="77777777" w:rsidR="009B7FA0" w:rsidRPr="009B7FA0" w:rsidRDefault="009B7FA0">
      <w:pPr>
        <w:rPr>
          <w:b/>
        </w:rPr>
      </w:pPr>
      <w:r w:rsidRPr="009B7FA0">
        <w:rPr>
          <w:b/>
        </w:rPr>
        <w:t xml:space="preserve"> 7. Other Relevant Insights</w:t>
      </w:r>
    </w:p>
    <w:p w14:paraId="59B899AE" w14:textId="77777777" w:rsidR="009B7FA0" w:rsidRDefault="009B7FA0">
      <w:r>
        <w:t xml:space="preserve">There is a beautiful pastoral dynamic in the progression of Moses’ face-to-face encounters. Deuteronomy 34:10 notes that the Lord knew Moses "face to face" (panim el-panim), and Exodus 33:11 states that the Lord spoke to Moses "face to face, as a man speaks to his friend." </w:t>
      </w:r>
    </w:p>
    <w:p w14:paraId="236DE591" w14:textId="77777777" w:rsidR="009B7FA0" w:rsidRDefault="009B7FA0"/>
    <w:p w14:paraId="0B5A1514" w14:textId="77777777" w:rsidR="009B7FA0" w:rsidRDefault="009B7FA0">
      <w:r>
        <w:t>This creates a seeming paradox with Exodus 33:20 ("You cannot see My face"). The resolution lies in the different nuances of the idiom. Speaking "face to face" in verse 11 is an idiom for intimate, direct, and unhindered communication, like two close friends conversing. However, seeing God's "face" in verse 20 refers to beholding the full, unshielded majesty of His divine nature. Moses enjoyed the highest level of relational intimacy possible for a mortal, yet he still had to respect the boundary of God's transcendent holiness.</w:t>
      </w:r>
    </w:p>
    <w:p w14:paraId="5DC04C73" w14:textId="77777777" w:rsidR="009B7FA0" w:rsidRDefault="009B7FA0"/>
    <w:p w14:paraId="349288B5" w14:textId="77777777" w:rsidR="009B7FA0" w:rsidRPr="009B7FA0" w:rsidRDefault="009B7FA0">
      <w:pPr>
        <w:rPr>
          <w:b/>
        </w:rPr>
      </w:pPr>
      <w:r w:rsidRPr="009B7FA0">
        <w:rPr>
          <w:b/>
        </w:rPr>
        <w:t xml:space="preserve"> 8. References</w:t>
      </w:r>
    </w:p>
    <w:p w14:paraId="563348F5" w14:textId="77777777" w:rsidR="009B7FA0" w:rsidRDefault="009B7FA0">
      <w:r>
        <w:t>• Brown-Driver-Briggs Hebrew and English Lexicon (BDB)</w:t>
      </w:r>
    </w:p>
    <w:p w14:paraId="4B4C1879" w14:textId="77777777" w:rsidR="009B7FA0" w:rsidRDefault="009B7FA0">
      <w:r>
        <w:t>• Hebrew and Aramaic Lexicon of the Old Testament (HALOT)</w:t>
      </w:r>
    </w:p>
    <w:p w14:paraId="42D7CE46" w14:textId="77777777" w:rsidR="009B7FA0" w:rsidRDefault="009B7FA0">
      <w:r>
        <w:t>• Theological Wordbook of the Old Testament (TWOT)</w:t>
      </w:r>
    </w:p>
    <w:p w14:paraId="695EA91C" w14:textId="77777777" w:rsidR="009B7FA0" w:rsidRDefault="009B7FA0">
      <w:r>
        <w:t>• Theological Dictionary of the Old Testament (TDOT)</w:t>
      </w:r>
    </w:p>
    <w:p w14:paraId="68EFC140" w14:textId="6F8A755B" w:rsidR="004C5552" w:rsidRDefault="009B7FA0">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FA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B7FA0"/>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4F54B"/>
  <w15:chartTrackingRefBased/>
  <w15:docId w15:val="{53A4B1A0-0148-4E72-99BA-8237B09AC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B7F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7F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7F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7F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B7F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7F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7F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7FA0"/>
    <w:rPr>
      <w:rFonts w:eastAsiaTheme="majorEastAsia" w:cstheme="majorBidi"/>
      <w:color w:val="272727" w:themeColor="text1" w:themeTint="D8"/>
    </w:rPr>
  </w:style>
  <w:style w:type="paragraph" w:styleId="Title">
    <w:name w:val="Title"/>
    <w:basedOn w:val="Normal"/>
    <w:next w:val="Normal"/>
    <w:link w:val="TitleChar"/>
    <w:uiPriority w:val="10"/>
    <w:qFormat/>
    <w:rsid w:val="009B7F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7F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7F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7F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7FA0"/>
    <w:pPr>
      <w:spacing w:before="160"/>
      <w:jc w:val="center"/>
    </w:pPr>
    <w:rPr>
      <w:i/>
      <w:iCs/>
      <w:color w:val="404040" w:themeColor="text1" w:themeTint="BF"/>
    </w:rPr>
  </w:style>
  <w:style w:type="character" w:customStyle="1" w:styleId="QuoteChar">
    <w:name w:val="Quote Char"/>
    <w:basedOn w:val="DefaultParagraphFont"/>
    <w:link w:val="Quote"/>
    <w:uiPriority w:val="29"/>
    <w:rsid w:val="009B7FA0"/>
    <w:rPr>
      <w:i/>
      <w:iCs/>
      <w:color w:val="404040" w:themeColor="text1" w:themeTint="BF"/>
    </w:rPr>
  </w:style>
  <w:style w:type="paragraph" w:styleId="ListParagraph">
    <w:name w:val="List Paragraph"/>
    <w:basedOn w:val="Normal"/>
    <w:uiPriority w:val="34"/>
    <w:qFormat/>
    <w:rsid w:val="009B7FA0"/>
    <w:pPr>
      <w:ind w:left="720"/>
      <w:contextualSpacing/>
    </w:pPr>
  </w:style>
  <w:style w:type="character" w:styleId="IntenseEmphasis">
    <w:name w:val="Intense Emphasis"/>
    <w:basedOn w:val="DefaultParagraphFont"/>
    <w:uiPriority w:val="21"/>
    <w:qFormat/>
    <w:rsid w:val="009B7FA0"/>
    <w:rPr>
      <w:i/>
      <w:iCs/>
      <w:color w:val="2E74B5" w:themeColor="accent1" w:themeShade="BF"/>
    </w:rPr>
  </w:style>
  <w:style w:type="paragraph" w:styleId="IntenseQuote">
    <w:name w:val="Intense Quote"/>
    <w:basedOn w:val="Normal"/>
    <w:next w:val="Normal"/>
    <w:link w:val="IntenseQuoteChar"/>
    <w:uiPriority w:val="30"/>
    <w:qFormat/>
    <w:rsid w:val="009B7FA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B7FA0"/>
    <w:rPr>
      <w:i/>
      <w:iCs/>
      <w:color w:val="2E74B5" w:themeColor="accent1" w:themeShade="BF"/>
    </w:rPr>
  </w:style>
  <w:style w:type="character" w:styleId="IntenseReference">
    <w:name w:val="Intense Reference"/>
    <w:basedOn w:val="DefaultParagraphFont"/>
    <w:uiPriority w:val="32"/>
    <w:qFormat/>
    <w:rsid w:val="009B7FA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1020</Words>
  <Characters>5817</Characters>
  <Application>Microsoft Office Word</Application>
  <DocSecurity>0</DocSecurity>
  <Lines>48</Lines>
  <Paragraphs>13</Paragraphs>
  <ScaleCrop>false</ScaleCrop>
  <Company/>
  <LinksUpToDate>false</LinksUpToDate>
  <CharactersWithSpaces>6824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2026-08-14T11:08:00Z</dcterms:created>
  <dcterms:modified xsi:type="dcterms:W3CDTF">2026-08-14T11:08:00Z</dcterms:modified>
</cp:coreProperties>
</file>