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729C" w14:textId="77777777" w:rsidR="00231C7C" w:rsidRPr="00231C7C" w:rsidRDefault="00231C7C">
      <w:pPr>
        <w:rPr>
          <w:b/>
        </w:rPr>
      </w:pPr>
      <w:r w:rsidRPr="00231C7C">
        <w:rPr>
          <w:b/>
        </w:rPr>
        <w:t>SNARE - (mōqēš, Strong's H4170)</w:t>
      </w:r>
    </w:p>
    <w:p w14:paraId="41C4A5E5" w14:textId="77777777" w:rsidR="00231C7C" w:rsidRDefault="00231C7C">
      <w:r w:rsidRPr="00231C7C">
        <w:rPr>
          <w:b/>
        </w:rPr>
        <w:t>Summary:</w:t>
      </w:r>
    </w:p>
    <w:p w14:paraId="7ADB5FD8" w14:textId="77777777" w:rsidR="00231C7C" w:rsidRDefault="00231C7C">
      <w:r>
        <w:t>The Hebrew word mōqēš refers to a fowler’s snare, trap, or bait used to capture birds and animals. In Exodus 34:12, it is used metaphorically to warn Israel that entering into covenants with the pagan inhabitants of Canaan will act as a hidden, lethal trap. What appears to be a politically wise alliance is actually spiritual bait that will inevitably lure them into idolatry, compromise, and ultimate destruction.</w:t>
      </w:r>
    </w:p>
    <w:p w14:paraId="035530E4" w14:textId="77777777" w:rsidR="00231C7C" w:rsidRDefault="00231C7C"/>
    <w:p w14:paraId="44F25AA7" w14:textId="77777777" w:rsidR="00231C7C" w:rsidRDefault="00231C7C">
      <w:r w:rsidRPr="00231C7C">
        <w:rPr>
          <w:b/>
        </w:rPr>
        <w:t>Full Study:</w:t>
      </w:r>
    </w:p>
    <w:p w14:paraId="4D084973" w14:textId="77777777" w:rsidR="00231C7C" w:rsidRDefault="00231C7C"/>
    <w:p w14:paraId="7B883D39" w14:textId="77777777" w:rsidR="00231C7C" w:rsidRPr="00231C7C" w:rsidRDefault="00231C7C">
      <w:pPr>
        <w:rPr>
          <w:b/>
        </w:rPr>
      </w:pPr>
      <w:r w:rsidRPr="00231C7C">
        <w:rPr>
          <w:b/>
        </w:rPr>
        <w:t>1. Word Picture / Background</w:t>
      </w:r>
    </w:p>
    <w:p w14:paraId="184C435D" w14:textId="77777777" w:rsidR="00231C7C" w:rsidRDefault="00231C7C">
      <w:r>
        <w:t>The Hebrew noun mōqēš originates from the verb yāqaš, which means to lay a snare, bait, or trap. In the agricultural context of ancient Israel, a mōqēš was a fowler’s trap designed specifically to catch birds. It consisted of a spring-loaded net triggered by a mechanism containing bait. The mōqēš is the lure or the trigger itself that snaps the trap shut when touched. The visual imagery is highly vivid: a bird, flying freely, is attracted by an appealing, harmless-looking piece of food. Unaware of the hidden spring mechanism underneath, the bird lands to feed, touches the trigger, and is instantly captured, resulting in confinement or death.</w:t>
      </w:r>
    </w:p>
    <w:p w14:paraId="45CF33B4" w14:textId="77777777" w:rsidR="00231C7C" w:rsidRDefault="00231C7C"/>
    <w:p w14:paraId="3591ADFD" w14:textId="77777777" w:rsidR="00231C7C" w:rsidRPr="00231C7C" w:rsidRDefault="00231C7C">
      <w:pPr>
        <w:rPr>
          <w:b/>
        </w:rPr>
      </w:pPr>
      <w:r w:rsidRPr="00231C7C">
        <w:rPr>
          <w:b/>
        </w:rPr>
        <w:t>2. Meaning / Lexical Definition</w:t>
      </w:r>
    </w:p>
    <w:p w14:paraId="2CCDA949" w14:textId="77777777" w:rsidR="00231C7C" w:rsidRDefault="00231C7C">
      <w:r>
        <w:t>• mōqēš refers to a snare, a trap, a lure, or bait. Lexically, it signifies any device used to capture prey, and by extension, any person, alliance, or circumstance that leads to moral compromise, unforeseen disaster, or spiritual ruin. It differs from pa</w:t>
      </w:r>
      <w:r>
        <w:rPr>
          <w:rFonts w:ascii="Calibri" w:hAnsi="Calibri" w:cs="Calibri"/>
        </w:rPr>
        <w:t>ḥ</w:t>
      </w:r>
      <w:r>
        <w:t xml:space="preserve"> (a hidden pit or net) in that mōqēš specifically emphasizes the enticing bait or trigger that actively draws the victim into danger.</w:t>
      </w:r>
    </w:p>
    <w:p w14:paraId="154A2A7A" w14:textId="77777777" w:rsidR="00231C7C" w:rsidRDefault="00231C7C"/>
    <w:p w14:paraId="5CCECE13" w14:textId="77777777" w:rsidR="00231C7C" w:rsidRPr="00231C7C" w:rsidRDefault="00231C7C">
      <w:pPr>
        <w:rPr>
          <w:b/>
        </w:rPr>
      </w:pPr>
      <w:r w:rsidRPr="00231C7C">
        <w:rPr>
          <w:b/>
        </w:rPr>
        <w:t>3. Usage and Word Pictures</w:t>
      </w:r>
    </w:p>
    <w:p w14:paraId="031AAE90" w14:textId="77777777" w:rsidR="00231C7C" w:rsidRDefault="00231C7C">
      <w:r>
        <w:t>The term occurs 27 times in the Hebrew Bible, primarily in poetic, prophetic, and wisdom literature.</w:t>
      </w:r>
    </w:p>
    <w:p w14:paraId="32A766A1" w14:textId="77777777" w:rsidR="00231C7C" w:rsidRDefault="00231C7C">
      <w:r>
        <w:t>• It describes the subtle, deceptive progression of sin. A snare is effective only because it remains hidden; if the prey could see the trap, it would flee. Sin operates under the same illusion, offering immediate gratification while concealing lethal consequences.</w:t>
      </w:r>
    </w:p>
    <w:p w14:paraId="6448A68F" w14:textId="77777777" w:rsidR="00231C7C" w:rsidRDefault="00231C7C">
      <w:r>
        <w:t>• It is used in connection with the "snares of death" (2 Samuel 22:6; Psalm 18:5), depicting death as an active hunter laying traps for the living.</w:t>
      </w:r>
    </w:p>
    <w:p w14:paraId="4B4D63AD" w14:textId="77777777" w:rsidR="00231C7C" w:rsidRDefault="00231C7C">
      <w:r>
        <w:t>• It serves as a metaphor for dangerous associations, warning that compromising friendships and treaties act as spiritual traps that strip God’s people of their freedom.</w:t>
      </w:r>
    </w:p>
    <w:p w14:paraId="5B40DAAA" w14:textId="77777777" w:rsidR="00231C7C" w:rsidRDefault="00231C7C"/>
    <w:p w14:paraId="3BBC316B" w14:textId="77777777" w:rsidR="00231C7C" w:rsidRPr="00231C7C" w:rsidRDefault="00231C7C">
      <w:pPr>
        <w:rPr>
          <w:b/>
        </w:rPr>
      </w:pPr>
      <w:r w:rsidRPr="00231C7C">
        <w:rPr>
          <w:b/>
        </w:rPr>
        <w:t>4. Theological Implications</w:t>
      </w:r>
    </w:p>
    <w:p w14:paraId="2407CBF4" w14:textId="77777777" w:rsidR="00231C7C" w:rsidRDefault="00231C7C">
      <w:r>
        <w:t>Theologically, mōqēš underscores the gravity of syncretism and idolatry. God demands total allegiance because He knows that false worship is a spiritual trap.</w:t>
      </w:r>
    </w:p>
    <w:p w14:paraId="376E69F7" w14:textId="77777777" w:rsidR="00231C7C" w:rsidRDefault="00231C7C">
      <w:r>
        <w:t>• Idolatry is never neutral; it is a designed snare. The Canaanite religious practices, with their sensual rituals and material focus, served as the bait.</w:t>
      </w:r>
    </w:p>
    <w:p w14:paraId="3E6AAD07" w14:textId="77777777" w:rsidR="00231C7C" w:rsidRDefault="00231C7C">
      <w:r>
        <w:t>• The theology of the trap reveals that spiritual ruin is rarely a sudden, conscious leap into apostasy. Instead, it is a gradual luring. The prey is enticed by what appears beneficial, only to discover too late that they have lost their spiritual vitality and freedom.</w:t>
      </w:r>
    </w:p>
    <w:p w14:paraId="56200043" w14:textId="77777777" w:rsidR="00231C7C" w:rsidRDefault="00231C7C"/>
    <w:p w14:paraId="1B253ECD" w14:textId="77777777" w:rsidR="00231C7C" w:rsidRPr="00231C7C" w:rsidRDefault="00231C7C">
      <w:pPr>
        <w:rPr>
          <w:b/>
        </w:rPr>
      </w:pPr>
      <w:r w:rsidRPr="00231C7C">
        <w:rPr>
          <w:b/>
        </w:rPr>
        <w:t>5. Contextual Nuance in the Passage</w:t>
      </w:r>
    </w:p>
    <w:p w14:paraId="55EE9DAE" w14:textId="77777777" w:rsidR="00231C7C" w:rsidRDefault="00231C7C">
      <w:r>
        <w:t>In Exodus 34:12, as Israel prepares to enter the land of Canaan, Yahweh warns them: "Take heed to yourself, lest you make a covenant with the inhabitants of the land... lest it be a snare in your midst."</w:t>
      </w:r>
    </w:p>
    <w:p w14:paraId="1701D6AF" w14:textId="77777777" w:rsidR="00231C7C" w:rsidRDefault="00231C7C">
      <w:r>
        <w:t>• The proposed "covenant" (treaty or alliance) is the bait. To the Israelites, making peace treaties with the local populations would seem politically astute, offering military security and economic trade.</w:t>
      </w:r>
    </w:p>
    <w:p w14:paraId="6F5C2E62" w14:textId="77777777" w:rsidR="00231C7C" w:rsidRDefault="00231C7C">
      <w:r>
        <w:t>• God exposes this political wisdom as a deadly illusion. The treaty is the trigger of a spiritual trap. By allowing pagan altars, shrines, and practices to remain in their "midst" (literally, "in your inner part" or "interior"), the trap is set inside their own borders.</w:t>
      </w:r>
    </w:p>
    <w:p w14:paraId="5BE70B7C" w14:textId="77777777" w:rsidR="00231C7C" w:rsidRDefault="00231C7C">
      <w:r>
        <w:t>• The trap is sprung when social integration leads to intermarriage and, inevitably, the worship of false gods (Exodus 34:15–16). The bait of political peace leads directly to the cage of spiritual ruin.</w:t>
      </w:r>
    </w:p>
    <w:p w14:paraId="104F10D2" w14:textId="77777777" w:rsidR="00231C7C" w:rsidRDefault="00231C7C"/>
    <w:p w14:paraId="65496A39" w14:textId="77777777" w:rsidR="00231C7C" w:rsidRPr="00231C7C" w:rsidRDefault="00231C7C">
      <w:pPr>
        <w:rPr>
          <w:b/>
        </w:rPr>
      </w:pPr>
      <w:r w:rsidRPr="00231C7C">
        <w:rPr>
          <w:b/>
        </w:rPr>
        <w:t>6. Key Uses in Other Verses (NKJV)</w:t>
      </w:r>
    </w:p>
    <w:p w14:paraId="72377167" w14:textId="77777777" w:rsidR="00231C7C" w:rsidRDefault="00231C7C">
      <w:r>
        <w:t>• Joshua 23:13 - "...know for certain that the Lord your God will no longer drive out these nations from before you. But they shall be a snare and a trap to you..."</w:t>
      </w:r>
    </w:p>
    <w:p w14:paraId="465D4235" w14:textId="77777777" w:rsidR="00231C7C" w:rsidRDefault="00231C7C">
      <w:r>
        <w:t>• Judges 2:3 - "...but they shall be thorns in your side, and their gods shall be a snare to you."</w:t>
      </w:r>
    </w:p>
    <w:p w14:paraId="5D264D3C" w14:textId="77777777" w:rsidR="00231C7C" w:rsidRDefault="00231C7C">
      <w:r>
        <w:t>• 1 Samuel 18:21 - "Saul said, 'I will give her to him, that she may be a snare to him, and that the hand of the Philistines may be against him.'"</w:t>
      </w:r>
    </w:p>
    <w:p w14:paraId="36913EAB" w14:textId="77777777" w:rsidR="00231C7C" w:rsidRDefault="00231C7C">
      <w:r>
        <w:t>• Psalm 106:36 - "They served their idols, Which became a snare to them."</w:t>
      </w:r>
    </w:p>
    <w:p w14:paraId="01AF6087" w14:textId="77777777" w:rsidR="00231C7C" w:rsidRDefault="00231C7C">
      <w:r>
        <w:t>• Proverbs 29:25 - "The fear of man brings a snare, But whoever trusts in the Lord shall be safe."</w:t>
      </w:r>
    </w:p>
    <w:p w14:paraId="46201470" w14:textId="77777777" w:rsidR="00231C7C" w:rsidRDefault="00231C7C"/>
    <w:p w14:paraId="069C66EF" w14:textId="77777777" w:rsidR="00231C7C" w:rsidRPr="00231C7C" w:rsidRDefault="00231C7C">
      <w:pPr>
        <w:rPr>
          <w:b/>
        </w:rPr>
      </w:pPr>
      <w:r w:rsidRPr="00231C7C">
        <w:rPr>
          <w:b/>
        </w:rPr>
        <w:t>7. Other Relevant Insights</w:t>
      </w:r>
    </w:p>
    <w:p w14:paraId="201D1323" w14:textId="77777777" w:rsidR="00231C7C" w:rsidRDefault="00231C7C">
      <w:r>
        <w:t>In the Septuagint (the ancient Greek translation of the Old Testament), mōqēš is frequently translated using the Greek words skandalon (a stumbling block or trap trigger) and proskomma (an obstacle). This establishes a direct theological link to the New Testament warnings against spiritual stumbling blocks. What the Old Testament depicts as a hidden physical snare, the New Testament explains as a moral offense or trap that causes a believer to fall into sin. For teaching and preaching, this word serves as a powerful reminder that temptation always disguises itself as an opportunity, and the only way to avoid the snare is to completely refuse the bait.</w:t>
      </w:r>
    </w:p>
    <w:p w14:paraId="7A146848" w14:textId="77777777" w:rsidR="00231C7C" w:rsidRDefault="00231C7C"/>
    <w:p w14:paraId="7D690683" w14:textId="77777777" w:rsidR="00231C7C" w:rsidRPr="00231C7C" w:rsidRDefault="00231C7C">
      <w:pPr>
        <w:rPr>
          <w:b/>
        </w:rPr>
      </w:pPr>
      <w:r w:rsidRPr="00231C7C">
        <w:rPr>
          <w:b/>
        </w:rPr>
        <w:t>8. References</w:t>
      </w:r>
    </w:p>
    <w:p w14:paraId="49CC651D" w14:textId="77777777" w:rsidR="00231C7C" w:rsidRDefault="00231C7C">
      <w:r>
        <w:t>• BDAG</w:t>
      </w:r>
    </w:p>
    <w:p w14:paraId="2F31DE4D" w14:textId="77777777" w:rsidR="00231C7C" w:rsidRDefault="00231C7C">
      <w:r>
        <w:t>• BDB</w:t>
      </w:r>
    </w:p>
    <w:p w14:paraId="10463F14" w14:textId="77777777" w:rsidR="00231C7C" w:rsidRDefault="00231C7C">
      <w:r>
        <w:t>• HALOT</w:t>
      </w:r>
    </w:p>
    <w:p w14:paraId="68A00F72" w14:textId="77777777" w:rsidR="00231C7C" w:rsidRDefault="00231C7C">
      <w:r>
        <w:t>• TWOT</w:t>
      </w:r>
    </w:p>
    <w:p w14:paraId="68CA624D" w14:textId="77777777" w:rsidR="00231C7C" w:rsidRDefault="00231C7C">
      <w:r>
        <w:t>• TDNT</w:t>
      </w:r>
    </w:p>
    <w:p w14:paraId="620ED9D1" w14:textId="77777777" w:rsidR="00231C7C" w:rsidRDefault="00231C7C">
      <w:r>
        <w:t>• Vine's Expository Dictionary</w:t>
      </w:r>
    </w:p>
    <w:p w14:paraId="088CD86C" w14:textId="6EC71AB0" w:rsidR="004C5552" w:rsidRDefault="00231C7C">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C7C"/>
    <w:rsid w:val="00017747"/>
    <w:rsid w:val="00023A4A"/>
    <w:rsid w:val="0006763F"/>
    <w:rsid w:val="000C53AC"/>
    <w:rsid w:val="00146083"/>
    <w:rsid w:val="001B2D17"/>
    <w:rsid w:val="002058F7"/>
    <w:rsid w:val="00224809"/>
    <w:rsid w:val="00231C7C"/>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2441"/>
  <w15:chartTrackingRefBased/>
  <w15:docId w15:val="{AFDA09B2-6613-4FF5-B2A1-00F0D3C04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1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1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C7C"/>
    <w:rPr>
      <w:rFonts w:eastAsiaTheme="majorEastAsia" w:cstheme="majorBidi"/>
      <w:color w:val="272727" w:themeColor="text1" w:themeTint="D8"/>
    </w:rPr>
  </w:style>
  <w:style w:type="paragraph" w:styleId="Title">
    <w:name w:val="Title"/>
    <w:basedOn w:val="Normal"/>
    <w:next w:val="Normal"/>
    <w:link w:val="TitleChar"/>
    <w:uiPriority w:val="10"/>
    <w:qFormat/>
    <w:rsid w:val="00231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C7C"/>
    <w:pPr>
      <w:spacing w:before="160"/>
      <w:jc w:val="center"/>
    </w:pPr>
    <w:rPr>
      <w:i/>
      <w:iCs/>
      <w:color w:val="404040" w:themeColor="text1" w:themeTint="BF"/>
    </w:rPr>
  </w:style>
  <w:style w:type="character" w:customStyle="1" w:styleId="QuoteChar">
    <w:name w:val="Quote Char"/>
    <w:basedOn w:val="DefaultParagraphFont"/>
    <w:link w:val="Quote"/>
    <w:uiPriority w:val="29"/>
    <w:rsid w:val="00231C7C"/>
    <w:rPr>
      <w:i/>
      <w:iCs/>
      <w:color w:val="404040" w:themeColor="text1" w:themeTint="BF"/>
    </w:rPr>
  </w:style>
  <w:style w:type="paragraph" w:styleId="ListParagraph">
    <w:name w:val="List Paragraph"/>
    <w:basedOn w:val="Normal"/>
    <w:uiPriority w:val="34"/>
    <w:qFormat/>
    <w:rsid w:val="00231C7C"/>
    <w:pPr>
      <w:ind w:left="720"/>
      <w:contextualSpacing/>
    </w:pPr>
  </w:style>
  <w:style w:type="character" w:styleId="IntenseEmphasis">
    <w:name w:val="Intense Emphasis"/>
    <w:basedOn w:val="DefaultParagraphFont"/>
    <w:uiPriority w:val="21"/>
    <w:qFormat/>
    <w:rsid w:val="00231C7C"/>
    <w:rPr>
      <w:i/>
      <w:iCs/>
      <w:color w:val="2E74B5" w:themeColor="accent1" w:themeShade="BF"/>
    </w:rPr>
  </w:style>
  <w:style w:type="paragraph" w:styleId="IntenseQuote">
    <w:name w:val="Intense Quote"/>
    <w:basedOn w:val="Normal"/>
    <w:next w:val="Normal"/>
    <w:link w:val="IntenseQuoteChar"/>
    <w:uiPriority w:val="30"/>
    <w:qFormat/>
    <w:rsid w:val="00231C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1C7C"/>
    <w:rPr>
      <w:i/>
      <w:iCs/>
      <w:color w:val="2E74B5" w:themeColor="accent1" w:themeShade="BF"/>
    </w:rPr>
  </w:style>
  <w:style w:type="character" w:styleId="IntenseReference">
    <w:name w:val="Intense Reference"/>
    <w:basedOn w:val="DefaultParagraphFont"/>
    <w:uiPriority w:val="32"/>
    <w:qFormat/>
    <w:rsid w:val="00231C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780</Words>
  <Characters>4451</Characters>
  <Application>Microsoft Office Word</Application>
  <DocSecurity>0</DocSecurity>
  <Lines>37</Lines>
  <Paragraphs>10</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