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3AC885" w14:textId="77777777" w:rsidR="00121C60" w:rsidRPr="00121C60" w:rsidRDefault="00121C60">
      <w:pPr>
        <w:rPr>
          <w:b/>
        </w:rPr>
      </w:pPr>
      <w:r w:rsidRPr="00121C60">
        <w:rPr>
          <w:b/>
        </w:rPr>
        <w:t>SACRED PILLARS - ( matstsebah , Strong's H4676 )</w:t>
      </w:r>
    </w:p>
    <w:p w14:paraId="49A7D02B" w14:textId="77777777" w:rsidR="00121C60" w:rsidRDefault="00121C60">
      <w:r w:rsidRPr="00121C60">
        <w:rPr>
          <w:b/>
        </w:rPr>
        <w:t>Summary:</w:t>
      </w:r>
    </w:p>
    <w:p w14:paraId="4A86F884" w14:textId="77777777" w:rsidR="00121C60" w:rsidRDefault="00121C60">
      <w:r>
        <w:t>The Hebrew word matstsebah refers to a standing stone pillar. Originally used in Israel's history as a neutral or positive memorial to mark significant encounters with God—such as Jacob's pillars at Bethel—it became deeply associated with pagan Canaanite worship. In Canaanite fertility cults, these stone pillars represented male deities (often Baal) standing alongside the wooden Asherah poles (representing female deities). Consequently, God strictly commanded Israel to shatter these pillars to prevent syncretism and preserve the purity of Yahweh worship. In Exodus 34:13, the command to break their "sacred pillars" is a non-negotiable call to radical holiness and the complete elimination of idolatrous structures as Israel enters the Promised Land.</w:t>
      </w:r>
    </w:p>
    <w:p w14:paraId="7FF3A74B" w14:textId="77777777" w:rsidR="00121C60" w:rsidRDefault="00121C60"/>
    <w:p w14:paraId="7C236613" w14:textId="77777777" w:rsidR="00121C60" w:rsidRDefault="00121C60">
      <w:r w:rsidRPr="00121C60">
        <w:rPr>
          <w:b/>
        </w:rPr>
        <w:t>Full Study:</w:t>
      </w:r>
    </w:p>
    <w:p w14:paraId="7DABEDEE" w14:textId="77777777" w:rsidR="00121C60" w:rsidRDefault="00121C60"/>
    <w:p w14:paraId="20A1B28B" w14:textId="77777777" w:rsidR="00121C60" w:rsidRPr="00121C60" w:rsidRDefault="00121C60">
      <w:pPr>
        <w:rPr>
          <w:b/>
        </w:rPr>
      </w:pPr>
      <w:r w:rsidRPr="00121C60">
        <w:rPr>
          <w:b/>
        </w:rPr>
        <w:t xml:space="preserve"> 1. Word Picture / Background</w:t>
      </w:r>
    </w:p>
    <w:p w14:paraId="7F947101" w14:textId="77777777" w:rsidR="00121C60" w:rsidRDefault="00121C60">
      <w:r>
        <w:t xml:space="preserve">The noun matstsebah derives from the verbal root natsab, which means "to stand," "to station," "to establish," or "to set upright." Literally, a matstsebah is "something set upright" or a "standing stone." </w:t>
      </w:r>
    </w:p>
    <w:p w14:paraId="766CDD7D" w14:textId="77777777" w:rsidR="00121C60" w:rsidRDefault="00121C60"/>
    <w:p w14:paraId="6F153632" w14:textId="77777777" w:rsidR="00121C60" w:rsidRDefault="00121C60">
      <w:r>
        <w:t>In the ancient Near East, large upright stones served several practical and symbolic purposes. They functioned as boundary markers, treaty memorials, gravestones, and cultic symbols. In Canaanite religion, these pillars were erected near altars on "high places" to represent the active presence of a deity. They served as focal points for worship, anointing, and sacrifice, symbolizing permanence and strength.</w:t>
      </w:r>
    </w:p>
    <w:p w14:paraId="2572E328" w14:textId="77777777" w:rsidR="00121C60" w:rsidRDefault="00121C60"/>
    <w:p w14:paraId="51EBAB66" w14:textId="77777777" w:rsidR="00121C60" w:rsidRPr="00121C60" w:rsidRDefault="00121C60">
      <w:pPr>
        <w:rPr>
          <w:b/>
        </w:rPr>
      </w:pPr>
      <w:r w:rsidRPr="00121C60">
        <w:rPr>
          <w:b/>
        </w:rPr>
        <w:t xml:space="preserve"> 2. Meaning / Lexical Definition</w:t>
      </w:r>
    </w:p>
    <w:p w14:paraId="3B92DE1B" w14:textId="77777777" w:rsidR="00121C60" w:rsidRDefault="00121C60">
      <w:r>
        <w:t>A matstsebah is a singular standing stone, pillar, or monument. The lexical range includes:</w:t>
      </w:r>
    </w:p>
    <w:p w14:paraId="48E4AC52" w14:textId="77777777" w:rsidR="00121C60" w:rsidRDefault="00121C60">
      <w:r>
        <w:t>• A memorial stone marking a personal covenant or a divine encounter (Genesis 28:18; 31:45).</w:t>
      </w:r>
    </w:p>
    <w:p w14:paraId="11B1ED25" w14:textId="77777777" w:rsidR="00121C60" w:rsidRDefault="00121C60">
      <w:r>
        <w:t>• A sepulchral monument or gravestone (Genesis 35:20).</w:t>
      </w:r>
    </w:p>
    <w:p w14:paraId="26C7912B" w14:textId="77777777" w:rsidR="00121C60" w:rsidRDefault="00121C60">
      <w:r>
        <w:t>• A pagan cultic pillar, often translated as "sacred pillar" or "obelisk," associated with Canaanite deity worship (Exodus 23:24; 2 Kings 3:2).</w:t>
      </w:r>
    </w:p>
    <w:p w14:paraId="4448CC53" w14:textId="77777777" w:rsidR="00121C60" w:rsidRDefault="00121C60"/>
    <w:p w14:paraId="454DE994" w14:textId="77777777" w:rsidR="00121C60" w:rsidRDefault="00121C60">
      <w:r>
        <w:t>In Exodus 34:13, the plural form with a pronominal suffix refers specifically to the pagan religious pillars belonging to the inhabitants of Canaan. Here, it carries a strictly negative, idolatrous definition.</w:t>
      </w:r>
    </w:p>
    <w:p w14:paraId="6F0A5422" w14:textId="77777777" w:rsidR="00121C60" w:rsidRDefault="00121C60"/>
    <w:p w14:paraId="1BE33FA5" w14:textId="77777777" w:rsidR="00121C60" w:rsidRPr="00121C60" w:rsidRDefault="00121C60">
      <w:pPr>
        <w:rPr>
          <w:b/>
        </w:rPr>
      </w:pPr>
      <w:r w:rsidRPr="00121C60">
        <w:rPr>
          <w:b/>
        </w:rPr>
        <w:t xml:space="preserve"> 3. Usage and Word Pictures</w:t>
      </w:r>
    </w:p>
    <w:p w14:paraId="34624D0F" w14:textId="77777777" w:rsidR="00121C60" w:rsidRDefault="00121C60">
      <w:r>
        <w:t>The biblical narrative records a dramatic shift in how the matstsebah is used and viewed:</w:t>
      </w:r>
    </w:p>
    <w:p w14:paraId="1E243324" w14:textId="77777777" w:rsidR="00121C60" w:rsidRDefault="00121C60">
      <w:r>
        <w:t>• The Patriarchal Era: Before the giving of the Law, the patriarchs freely erected standing stones as memorials of God's faithfulness. Jacob set up a stone at Bethel, poured oil on it, and called it a matstsebah to mark the place where God spoke to him (Genesis 28:18). Joshua later set up twelve stones at Gilgal to commemorate the crossing of the Jordan (Joshua 4:20). These monuments were historical markers, not objects of worship.</w:t>
      </w:r>
    </w:p>
    <w:p w14:paraId="3D5DCA15" w14:textId="77777777" w:rsidR="00121C60" w:rsidRDefault="00121C60">
      <w:r>
        <w:t>• The Canaanite Context and the Law: Upon entering Canaan, Israel encountered a highly developed fertility cult where standing stones were used to worship Baal. To prevent Israel from adopting these practices, God strictly prohibited the erection of any standing stone for worship (Leviticus 26:1; Deuteronomy 16:22).</w:t>
      </w:r>
    </w:p>
    <w:p w14:paraId="70F8BC7F" w14:textId="77777777" w:rsidR="00121C60" w:rsidRDefault="00121C60"/>
    <w:p w14:paraId="68C28AA3" w14:textId="77777777" w:rsidR="00121C60" w:rsidRDefault="00121C60">
      <w:r>
        <w:t>This shift represents a word picture of spiritual contamination. What was once a simple, neutral monument of thanksgiving became a symbol of spiritual adultery and syncretism when adapted to pagan religious practices.</w:t>
      </w:r>
    </w:p>
    <w:p w14:paraId="58E6372F" w14:textId="77777777" w:rsidR="00121C60" w:rsidRDefault="00121C60"/>
    <w:p w14:paraId="34F0BF66" w14:textId="77777777" w:rsidR="00121C60" w:rsidRPr="00121C60" w:rsidRDefault="00121C60">
      <w:pPr>
        <w:rPr>
          <w:b/>
        </w:rPr>
      </w:pPr>
      <w:r w:rsidRPr="00121C60">
        <w:rPr>
          <w:b/>
        </w:rPr>
        <w:t xml:space="preserve"> 4. Theological Implications</w:t>
      </w:r>
    </w:p>
    <w:p w14:paraId="286A47F6" w14:textId="77777777" w:rsidR="00121C60" w:rsidRDefault="00121C60">
      <w:r>
        <w:t>• The Exclusivity of Yahweh: God demands exclusive worship. The presence of Canaanite pillars represents a syncretistic threat. Israel was forbidden from worshiping Yahweh using pagan methods, spaces, or symbols.</w:t>
      </w:r>
    </w:p>
    <w:p w14:paraId="23CD1CBC" w14:textId="77777777" w:rsidR="00121C60" w:rsidRDefault="00121C60">
      <w:r>
        <w:t>• Holiness as Separation: Spiritual compromise often begins with the toleration of idolatrous symbols in one's environment. To remain holy (set apart), Israel had to physically dismantle the Canaanite cultic apparatus.</w:t>
      </w:r>
    </w:p>
    <w:p w14:paraId="70B66C89" w14:textId="77777777" w:rsidR="00121C60" w:rsidRDefault="00121C60">
      <w:r>
        <w:t>• Rejection of Manipulation: Canaanite fertility worship utilized these pillars to physically manipulate the gods to bring rain and harvest. By commanding the destruction of these pillars, Yahweh reminded Israel that He is a relational Covenant God, not a force to be manipulated through ritualistic monuments.</w:t>
      </w:r>
    </w:p>
    <w:p w14:paraId="2F0B141B" w14:textId="77777777" w:rsidR="00121C60" w:rsidRDefault="00121C60"/>
    <w:p w14:paraId="78F1D72D" w14:textId="77777777" w:rsidR="00121C60" w:rsidRPr="00121C60" w:rsidRDefault="00121C60">
      <w:pPr>
        <w:rPr>
          <w:b/>
        </w:rPr>
      </w:pPr>
      <w:r w:rsidRPr="00121C60">
        <w:rPr>
          <w:b/>
        </w:rPr>
        <w:t xml:space="preserve"> 5. Contextual Nuance in the Passage</w:t>
      </w:r>
    </w:p>
    <w:p w14:paraId="72C59E6A" w14:textId="77777777" w:rsidR="00121C60" w:rsidRDefault="00121C60">
      <w:r>
        <w:t xml:space="preserve">Exodus 34:13 occurs in the immediate aftermath of the golden calf incident (Exodus 32) and during the renewal of the Covenant. Israel had already demonstrated a dangerous susceptibility to syncretism by trying to worship Yahweh through the image of a calf. </w:t>
      </w:r>
    </w:p>
    <w:p w14:paraId="207A7D0A" w14:textId="77777777" w:rsidR="00121C60" w:rsidRDefault="00121C60"/>
    <w:p w14:paraId="4258CE49" w14:textId="77777777" w:rsidR="00121C60" w:rsidRDefault="00121C60">
      <w:r>
        <w:t>As God renews the covenant, He warns Israel against making peace or treaties with the inhabitants of the land. The physical destruction of their cultic structures—altars, sacred pillars (matstsebah), and wooden images (asherah)—was the primary safeguard against falling back into idolatry. The Hebrew verb paired with matstsebah in this verse is shabar, which means "to shatter" or "to break in pieces." God does not command Israel to merely ignore or repurpose these pillars; He commands their complete, violent, and irreversible destruction.</w:t>
      </w:r>
    </w:p>
    <w:p w14:paraId="553FD2F2" w14:textId="77777777" w:rsidR="00121C60" w:rsidRDefault="00121C60"/>
    <w:p w14:paraId="33BF3E0E" w14:textId="77777777" w:rsidR="00121C60" w:rsidRPr="00121C60" w:rsidRDefault="00121C60">
      <w:pPr>
        <w:rPr>
          <w:b/>
        </w:rPr>
      </w:pPr>
      <w:r w:rsidRPr="00121C60">
        <w:rPr>
          <w:b/>
        </w:rPr>
        <w:t xml:space="preserve"> 6. Key Uses in Other Verses (NKJV)</w:t>
      </w:r>
    </w:p>
    <w:p w14:paraId="3A52D1F7" w14:textId="77777777" w:rsidR="00121C60" w:rsidRDefault="00121C60">
      <w:r>
        <w:t>• Genesis 28:18: "Then Jacob rose early in the morning, and took the stone that he had put at his head, set it up as a pillar, and poured oil on top of it."</w:t>
      </w:r>
    </w:p>
    <w:p w14:paraId="1568C1CD" w14:textId="77777777" w:rsidR="00121C60" w:rsidRDefault="00121C60">
      <w:r>
        <w:t>• Exodus 23:24: "You shall not bow down to their gods, nor serve them, nor do according to their works; but you shall utterly overthrow them and completely break down their sacred pillars."</w:t>
      </w:r>
    </w:p>
    <w:p w14:paraId="11FA13EA" w14:textId="77777777" w:rsidR="00121C60" w:rsidRDefault="00121C60">
      <w:r>
        <w:t>• Leviticus 26:1: "You shall not make idols for yourselves; neither a carved image nor a sacred pillar shall you rear up for yourselves..."</w:t>
      </w:r>
    </w:p>
    <w:p w14:paraId="074207A0" w14:textId="77777777" w:rsidR="00121C60" w:rsidRDefault="00121C60">
      <w:r>
        <w:t>• Deuteronomy 16:22: "You shall not set up a sacred pillar, which the Lord your God hates."</w:t>
      </w:r>
    </w:p>
    <w:p w14:paraId="147AA55F" w14:textId="77777777" w:rsidR="00121C60" w:rsidRDefault="00121C60">
      <w:r>
        <w:t>• 2 Kings 10:27: "Then they broke down the sacred pillar of Baal, and tore down the temple of Baal and made it a refuse dump to this day."</w:t>
      </w:r>
    </w:p>
    <w:p w14:paraId="30093AB5" w14:textId="77777777" w:rsidR="00121C60" w:rsidRDefault="00121C60"/>
    <w:p w14:paraId="31A49AF0" w14:textId="77777777" w:rsidR="00121C60" w:rsidRPr="00121C60" w:rsidRDefault="00121C60">
      <w:pPr>
        <w:rPr>
          <w:b/>
        </w:rPr>
      </w:pPr>
      <w:r w:rsidRPr="00121C60">
        <w:rPr>
          <w:b/>
        </w:rPr>
        <w:t xml:space="preserve"> 7. Other Relevant Insights</w:t>
      </w:r>
    </w:p>
    <w:p w14:paraId="4B0BCD48" w14:textId="77777777" w:rsidR="00121C60" w:rsidRDefault="00121C60">
      <w:r>
        <w:t xml:space="preserve">Archaeological excavations throughout the Levant (such as at Gezer, Hazor, and Arad) have uncovered ancient Canaanite "high places" featuring rows of large, unhewn standing stones (matstsebot). These discoveries confirm that the pillars were highly prominent in the landscape. </w:t>
      </w:r>
    </w:p>
    <w:p w14:paraId="09C93DA0" w14:textId="77777777" w:rsidR="00121C60" w:rsidRDefault="00121C60"/>
    <w:p w14:paraId="46390150" w14:textId="77777777" w:rsidR="00121C60" w:rsidRDefault="00121C60">
      <w:r>
        <w:t>The pairing of the stone matstsebah with the wooden asherah (Deuteronomy 16:21–22) represents the male and female principles of Canaanite fertility religion. The stone pillar symbolized Baal (the male storm god who brings rain), while the wooden pole represented Asherah (the female consort and goddess of fertility). For the Israelite, destroying both structures was a declaration that Yahweh alone controls the rain, the harvest, and human fertility.</w:t>
      </w:r>
    </w:p>
    <w:p w14:paraId="1C410208" w14:textId="77777777" w:rsidR="00121C60" w:rsidRDefault="00121C60"/>
    <w:p w14:paraId="2A49875A" w14:textId="77777777" w:rsidR="00121C60" w:rsidRPr="00121C60" w:rsidRDefault="00121C60">
      <w:pPr>
        <w:rPr>
          <w:b/>
        </w:rPr>
      </w:pPr>
      <w:r w:rsidRPr="00121C60">
        <w:rPr>
          <w:b/>
        </w:rPr>
        <w:t xml:space="preserve"> 8. References</w:t>
      </w:r>
    </w:p>
    <w:p w14:paraId="05BE225E" w14:textId="77777777" w:rsidR="00121C60" w:rsidRDefault="00121C60">
      <w:r>
        <w:t>• Brown, Driver, Briggs. A Hebrew and English Lexicon of the Old Testament.</w:t>
      </w:r>
    </w:p>
    <w:p w14:paraId="2C6C0A8F" w14:textId="77777777" w:rsidR="00121C60" w:rsidRDefault="00121C60">
      <w:r>
        <w:t>• Koehler, Ludwig, and Walter Baumgartner. The Hebrew and Aramaic Lexicon of the Old Testament.</w:t>
      </w:r>
    </w:p>
    <w:p w14:paraId="241D2190" w14:textId="77777777" w:rsidR="00121C60" w:rsidRDefault="00121C60">
      <w:r>
        <w:t>• Harris, R. Laird, Gleason L. Archer Jr., and Bruce K. Waltke. Theological Wordbook of the Old Testament.</w:t>
      </w:r>
    </w:p>
    <w:p w14:paraId="219C799B" w14:textId="77777777" w:rsidR="00121C60" w:rsidRDefault="00121C60">
      <w:r>
        <w:t>• VanGemeren, Willem A., ed. New International Dictionary of Old Testament Theology and Exegesis.</w:t>
      </w:r>
    </w:p>
    <w:p w14:paraId="48C665A9" w14:textId="0AF1F226" w:rsidR="004C5552" w:rsidRDefault="00121C60">
      <w:r>
        <w:t>• Vine, W. E.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1C60"/>
    <w:rsid w:val="00017747"/>
    <w:rsid w:val="00023A4A"/>
    <w:rsid w:val="0006763F"/>
    <w:rsid w:val="000C53AC"/>
    <w:rsid w:val="00121C60"/>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B9D25E"/>
  <w15:chartTrackingRefBased/>
  <w15:docId w15:val="{8D0C1C30-C4B7-4CCE-AAA1-051AC27631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21C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1C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1C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1C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21C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1C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1C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1C60"/>
    <w:rPr>
      <w:rFonts w:eastAsiaTheme="majorEastAsia" w:cstheme="majorBidi"/>
      <w:color w:val="272727" w:themeColor="text1" w:themeTint="D8"/>
    </w:rPr>
  </w:style>
  <w:style w:type="paragraph" w:styleId="Title">
    <w:name w:val="Title"/>
    <w:basedOn w:val="Normal"/>
    <w:next w:val="Normal"/>
    <w:link w:val="TitleChar"/>
    <w:uiPriority w:val="10"/>
    <w:qFormat/>
    <w:rsid w:val="00121C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1C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1C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1C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1C60"/>
    <w:pPr>
      <w:spacing w:before="160"/>
      <w:jc w:val="center"/>
    </w:pPr>
    <w:rPr>
      <w:i/>
      <w:iCs/>
      <w:color w:val="404040" w:themeColor="text1" w:themeTint="BF"/>
    </w:rPr>
  </w:style>
  <w:style w:type="character" w:customStyle="1" w:styleId="QuoteChar">
    <w:name w:val="Quote Char"/>
    <w:basedOn w:val="DefaultParagraphFont"/>
    <w:link w:val="Quote"/>
    <w:uiPriority w:val="29"/>
    <w:rsid w:val="00121C60"/>
    <w:rPr>
      <w:i/>
      <w:iCs/>
      <w:color w:val="404040" w:themeColor="text1" w:themeTint="BF"/>
    </w:rPr>
  </w:style>
  <w:style w:type="paragraph" w:styleId="ListParagraph">
    <w:name w:val="List Paragraph"/>
    <w:basedOn w:val="Normal"/>
    <w:uiPriority w:val="34"/>
    <w:qFormat/>
    <w:rsid w:val="00121C60"/>
    <w:pPr>
      <w:ind w:left="720"/>
      <w:contextualSpacing/>
    </w:pPr>
  </w:style>
  <w:style w:type="character" w:styleId="IntenseEmphasis">
    <w:name w:val="Intense Emphasis"/>
    <w:basedOn w:val="DefaultParagraphFont"/>
    <w:uiPriority w:val="21"/>
    <w:qFormat/>
    <w:rsid w:val="00121C60"/>
    <w:rPr>
      <w:i/>
      <w:iCs/>
      <w:color w:val="2E74B5" w:themeColor="accent1" w:themeShade="BF"/>
    </w:rPr>
  </w:style>
  <w:style w:type="paragraph" w:styleId="IntenseQuote">
    <w:name w:val="Intense Quote"/>
    <w:basedOn w:val="Normal"/>
    <w:next w:val="Normal"/>
    <w:link w:val="IntenseQuoteChar"/>
    <w:uiPriority w:val="30"/>
    <w:qFormat/>
    <w:rsid w:val="00121C6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21C60"/>
    <w:rPr>
      <w:i/>
      <w:iCs/>
      <w:color w:val="2E74B5" w:themeColor="accent1" w:themeShade="BF"/>
    </w:rPr>
  </w:style>
  <w:style w:type="character" w:styleId="IntenseReference">
    <w:name w:val="Intense Reference"/>
    <w:basedOn w:val="DefaultParagraphFont"/>
    <w:uiPriority w:val="32"/>
    <w:qFormat/>
    <w:rsid w:val="00121C6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1015</Words>
  <Characters>5791</Characters>
  <Application>Microsoft Office Word</Application>
  <DocSecurity>0</DocSecurity>
  <Lines>48</Lines>
  <Paragraphs>13</Paragraphs>
  <ScaleCrop>false</ScaleCrop>
  <Company/>
  <LinksUpToDate>false</LinksUpToDate>
  <CharactersWithSpaces>6793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2026-08-14T11:10:00Z</dcterms:created>
  <dcterms:modified xsi:type="dcterms:W3CDTF">2026-08-14T11:10:00Z</dcterms:modified>
</cp:coreProperties>
</file>