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56EF" w14:textId="77777777" w:rsidR="00FA6378" w:rsidRPr="00FA6378" w:rsidRDefault="00FA6378">
      <w:pPr>
        <w:rPr>
          <w:b/>
        </w:rPr>
      </w:pPr>
      <w:r w:rsidRPr="00FA6378">
        <w:rPr>
          <w:b/>
        </w:rPr>
        <w:t>SHOWBREAD - ( lechem , Strong's H3899 )</w:t>
      </w:r>
    </w:p>
    <w:p w14:paraId="22327DB4" w14:textId="77777777" w:rsidR="00FA6378" w:rsidRDefault="00FA6378">
      <w:r w:rsidRPr="00FA6378">
        <w:rPr>
          <w:b/>
        </w:rPr>
        <w:t>Summary:</w:t>
      </w:r>
    </w:p>
    <w:p w14:paraId="512D1AAB" w14:textId="77777777" w:rsidR="00FA6378" w:rsidRDefault="00FA6378">
      <w:r>
        <w:t>The English word "showbread" in Exodus 35:13 translates the Hebrew noun lechem (H3899), meaning "bread" or "food," when it is joined in a construct phrase with panim (H6440, "faces" or "presence") to form lechem happanim—literally, the "bread of the Presence." Set weekly upon the golden table in the Tabernacle's Holy Place, these twelve loaves represented the twelve tribes of Israel dwelling in perpetual communion and covenant relationship before the face of God. As a vivid Old Testament type, the showbread points ultimately to Jesus Christ, the true Bread of Life, who sustains His people and brings them into the direct, face-to-face presence of the Father.</w:t>
      </w:r>
    </w:p>
    <w:p w14:paraId="1EF6346F" w14:textId="77777777" w:rsidR="00FA6378" w:rsidRDefault="00FA6378"/>
    <w:p w14:paraId="33460F8E" w14:textId="77777777" w:rsidR="00FA6378" w:rsidRDefault="00FA6378">
      <w:r w:rsidRPr="00FA6378">
        <w:rPr>
          <w:b/>
        </w:rPr>
        <w:t>Full Study:</w:t>
      </w:r>
    </w:p>
    <w:p w14:paraId="305ECF39" w14:textId="77777777" w:rsidR="00FA6378" w:rsidRDefault="00FA6378"/>
    <w:p w14:paraId="0828315D" w14:textId="77777777" w:rsidR="00FA6378" w:rsidRPr="00FA6378" w:rsidRDefault="00FA6378">
      <w:pPr>
        <w:rPr>
          <w:b/>
        </w:rPr>
      </w:pPr>
      <w:r w:rsidRPr="00FA6378">
        <w:rPr>
          <w:b/>
        </w:rPr>
        <w:t xml:space="preserve"> 1. Word Picture / Background</w:t>
      </w:r>
    </w:p>
    <w:p w14:paraId="573F34B9" w14:textId="77777777" w:rsidR="00FA6378" w:rsidRDefault="00FA6378">
      <w:r>
        <w:t xml:space="preserve">The Hebrew noun lechem comes from a root associated with consuming or feeding, and it is the standard Old Testament word for bread, the staple food of the ancient Near East. In Exodus 35:13, however, lechem does not stand alone; it is part of the technical compound phrase lechem happanim. The word panim means "faces," "presence," or "countenance." Therefore, the historical and literal word picture of "showbread" is "the bread of the Face" or "the bread of the Presence." </w:t>
      </w:r>
    </w:p>
    <w:p w14:paraId="775F3979" w14:textId="77777777" w:rsidR="00FA6378" w:rsidRDefault="00FA6378"/>
    <w:p w14:paraId="3BCDDE4F" w14:textId="77777777" w:rsidR="00FA6378" w:rsidRDefault="00FA6378">
      <w:r>
        <w:t>William Tyndale coined the English term "showbread" (or "shewbread") in his 1530 translation of the Pentateuch, borrowing from the German Schaubrot (literally, "exhibition bread" or "bread to be looked at"), because these loaves were displayed continuously before the Lord. Historically, the twelve loaves of unleavened bread were arranged in two rows of six on the golden table, with pure frankincense placed on each row. Every Sabbath, the priests replaced the bread with fresh loaves and ate the old loaves in the Holy Place. This ritual painted a profound picture of ongoing fellowship, provision, and covenant intimacy between Yahweh and the twelve tribes.</w:t>
      </w:r>
    </w:p>
    <w:p w14:paraId="31A2F3B8" w14:textId="77777777" w:rsidR="00FA6378" w:rsidRDefault="00FA6378"/>
    <w:p w14:paraId="09F72C1D" w14:textId="77777777" w:rsidR="00FA6378" w:rsidRPr="00FA6378" w:rsidRDefault="00FA6378">
      <w:pPr>
        <w:rPr>
          <w:b/>
        </w:rPr>
      </w:pPr>
      <w:r w:rsidRPr="00FA6378">
        <w:rPr>
          <w:b/>
        </w:rPr>
        <w:t xml:space="preserve"> 2. Meaning / Lexical Definition</w:t>
      </w:r>
    </w:p>
    <w:p w14:paraId="001627C6" w14:textId="77777777" w:rsidR="00FA6378" w:rsidRDefault="00FA6378">
      <w:r>
        <w:t>At its core, lechem (H3899) refers to bread, food, or grain. It is the raw material of physical sustenance. However, when used in sacred contexts, its meaning is shaped by the modifying nouns that accompany it:</w:t>
      </w:r>
    </w:p>
    <w:p w14:paraId="778EE0D9" w14:textId="77777777" w:rsidR="00FA6378" w:rsidRDefault="00FA6378">
      <w:r>
        <w:t>• lechem happanim (bread of the Presence / showbread): This is the specific term used in Exodus 35:13 and throughout the Tabernacle instructions. It refers to the physical loaves of bread set before the face of God in the Sanctuary.</w:t>
      </w:r>
    </w:p>
    <w:p w14:paraId="3844EC2F" w14:textId="77777777" w:rsidR="00FA6378" w:rsidRDefault="00FA6378">
      <w:r>
        <w:t>• lechem hammaareketh (bread of the row / arrangement): Used in later texts like 1 Chronicles 9:32, highlighting the structured, orderly arrangement of the loaves.</w:t>
      </w:r>
    </w:p>
    <w:p w14:paraId="304A04D7" w14:textId="77777777" w:rsidR="00FA6378" w:rsidRDefault="00FA6378">
      <w:r>
        <w:t>• lechem hattamid (continual bread): Used in Numbers 4:7, emphasizing that the bread was never to be absent from the table.</w:t>
      </w:r>
    </w:p>
    <w:p w14:paraId="32A68EF0" w14:textId="77777777" w:rsidR="00FA6378" w:rsidRDefault="00FA6378"/>
    <w:p w14:paraId="0D078C25" w14:textId="77777777" w:rsidR="00FA6378" w:rsidRDefault="00FA6378">
      <w:r>
        <w:t>Lexically, while H3899 itself simply means "bread," its function in Exodus 35:13 is as the head noun of the construct chain lechem happanim, denoting the holy bread uniquely set apart for the divine presence.</w:t>
      </w:r>
    </w:p>
    <w:p w14:paraId="688C8CB0" w14:textId="77777777" w:rsidR="00FA6378" w:rsidRDefault="00FA6378"/>
    <w:p w14:paraId="18F80092" w14:textId="77777777" w:rsidR="00FA6378" w:rsidRPr="00FA6378" w:rsidRDefault="00FA6378">
      <w:pPr>
        <w:rPr>
          <w:b/>
        </w:rPr>
      </w:pPr>
      <w:r w:rsidRPr="00FA6378">
        <w:rPr>
          <w:b/>
        </w:rPr>
        <w:t xml:space="preserve"> 3. Usage and Word Pictures</w:t>
      </w:r>
    </w:p>
    <w:p w14:paraId="6243C1DB" w14:textId="77777777" w:rsidR="00FA6378" w:rsidRDefault="00FA6378">
      <w:r>
        <w:t xml:space="preserve">In the ancient Near East, eating bread with someone was the ultimate sign of covenantal peace and friendship. The "bread of the Presence" took this cultural reality and elevated it to a spiritual plane. </w:t>
      </w:r>
    </w:p>
    <w:p w14:paraId="720631B6" w14:textId="77777777" w:rsidR="00FA6378" w:rsidRDefault="00FA6378"/>
    <w:p w14:paraId="0FAC50D9" w14:textId="77777777" w:rsidR="00FA6378" w:rsidRDefault="00FA6378">
      <w:r>
        <w:t>The placement of the bread on the table (shulchan) directly across from the golden lampstand (menorah) created a beautiful sensory word picture: the light of God's presence shone continuously upon the bread of His people. The twelve loaves, baked from fine flour, represented the agricultural fruit of the land and the labor of the twelve tribes. By placing this bread on the table in the Holy Place, Israel acknowledged that all physical life and sustenance came from the hand of God, and they presented their entire lives back to Him as an offering.</w:t>
      </w:r>
    </w:p>
    <w:p w14:paraId="698969D4" w14:textId="77777777" w:rsidR="00FA6378" w:rsidRDefault="00FA6378"/>
    <w:p w14:paraId="45DCB991" w14:textId="77777777" w:rsidR="00FA6378" w:rsidRPr="00FA6378" w:rsidRDefault="00FA6378">
      <w:pPr>
        <w:rPr>
          <w:b/>
        </w:rPr>
      </w:pPr>
      <w:r w:rsidRPr="00FA6378">
        <w:rPr>
          <w:b/>
        </w:rPr>
        <w:t xml:space="preserve"> 4. Theological Implications</w:t>
      </w:r>
    </w:p>
    <w:p w14:paraId="7022CC42" w14:textId="77777777" w:rsidR="00FA6378" w:rsidRDefault="00FA6378">
      <w:r>
        <w:t>The theological significance of the showbread spans both Covenants:</w:t>
      </w:r>
    </w:p>
    <w:p w14:paraId="143E45BD" w14:textId="77777777" w:rsidR="00FA6378" w:rsidRDefault="00FA6378">
      <w:r>
        <w:t>• God’s Provision and Fellowship: The presence of the bread in the Tabernacle demonstrated that God desires to dwell with His people and feed them. It is a visual representation of Psalm 23:5: "You prepare a table before me."</w:t>
      </w:r>
    </w:p>
    <w:p w14:paraId="0A47301F" w14:textId="77777777" w:rsidR="00FA6378" w:rsidRDefault="00FA6378">
      <w:r>
        <w:t>• The Covenant Table: Unlike pagan religions where food was offered to feed hungry deities, the showbread was eaten by God's priests as His representatives. God did not consume the bread; rather, He hosted the meal, inviting His people into His presence to eat with Him.</w:t>
      </w:r>
    </w:p>
    <w:p w14:paraId="79A56FC5" w14:textId="77777777" w:rsidR="00FA6378" w:rsidRDefault="00FA6378">
      <w:r>
        <w:t>• Christological Fulfillment: Jesus Christ is the ultimate fulfillment of the showbread. In John 6:35, He declared, "I am the bread of life." Just as the showbread was perpetually in the presence of God, Jesus eternally dwells in the presence of the Father. Just as the old showbread was eaten by the priests to sustain them, believers are sustained spiritually by feeding on Christ through faith. Furthermore, the showbread was unleavened, symbolizing purity—a fit type of the sinless Savior.</w:t>
      </w:r>
    </w:p>
    <w:p w14:paraId="3E1287D5" w14:textId="77777777" w:rsidR="00FA6378" w:rsidRDefault="00FA6378"/>
    <w:p w14:paraId="40D0FCE8" w14:textId="77777777" w:rsidR="00FA6378" w:rsidRPr="00FA6378" w:rsidRDefault="00FA6378">
      <w:pPr>
        <w:rPr>
          <w:b/>
        </w:rPr>
      </w:pPr>
      <w:r w:rsidRPr="00FA6378">
        <w:rPr>
          <w:b/>
        </w:rPr>
        <w:t xml:space="preserve"> 5. Contextual Nuance in the Passage</w:t>
      </w:r>
    </w:p>
    <w:p w14:paraId="1550EC1B" w14:textId="77777777" w:rsidR="00FA6378" w:rsidRDefault="00FA6378">
      <w:r>
        <w:t xml:space="preserve">In Exodus 35, Moses is assembling the congregation of Israel to collect the materials and begin the construction of the Tabernacle. In verse 13, the "showbread" is listed alongside the table, its poles, and all its utensils as essential components of the sacred furniture. </w:t>
      </w:r>
    </w:p>
    <w:p w14:paraId="7F5D025F" w14:textId="77777777" w:rsidR="00FA6378" w:rsidRDefault="00FA6378"/>
    <w:p w14:paraId="047CB99D" w14:textId="77777777" w:rsidR="00FA6378" w:rsidRDefault="00FA6378">
      <w:r>
        <w:t>The contextual nuance here is one of meticulous preparation and obedience. The inclusion of the "showbread" in the inventory of items to be made reminds the people that the Tabernacle was not merely an architectural monument, but a functional house of communion. The table was useless without the bread; the structure was empty without the provision for fellowship. By preparing the showbread, Israel was preparing for the active, daily reality of hosting the Presence of Yahweh in their midst.</w:t>
      </w:r>
    </w:p>
    <w:p w14:paraId="78A72EEC" w14:textId="77777777" w:rsidR="00FA6378" w:rsidRDefault="00FA6378"/>
    <w:p w14:paraId="24DAC3BA" w14:textId="77777777" w:rsidR="00FA6378" w:rsidRPr="00FA6378" w:rsidRDefault="00FA6378">
      <w:pPr>
        <w:rPr>
          <w:b/>
        </w:rPr>
      </w:pPr>
      <w:r w:rsidRPr="00FA6378">
        <w:rPr>
          <w:b/>
        </w:rPr>
        <w:t xml:space="preserve"> 6. Key Uses in Other Verses (NKJV)</w:t>
      </w:r>
    </w:p>
    <w:p w14:paraId="3772B22C" w14:textId="77777777" w:rsidR="00FA6378" w:rsidRDefault="00FA6378">
      <w:r>
        <w:t>Because H3899 lechem is used over 200 times for common bread, the key verses selected below focus on its occurrences where it represents the sacred "showbread" (lechem happanim or related phrases):</w:t>
      </w:r>
    </w:p>
    <w:p w14:paraId="1A664631" w14:textId="77777777" w:rsidR="00FA6378" w:rsidRDefault="00FA6378">
      <w:r>
        <w:t>• Exodus 25:30: "And you shall set the showbread [lechem] on the table before Me always."</w:t>
      </w:r>
    </w:p>
    <w:p w14:paraId="656057E5" w14:textId="77777777" w:rsidR="00FA6378" w:rsidRDefault="00FA6378">
      <w:r>
        <w:t>• Leviticus 24:7: "And you shall put pure frankincense on each row, that it may be on the bread [lechem] for a memorial, an offering made by fire to the Lord."</w:t>
      </w:r>
    </w:p>
    <w:p w14:paraId="405AD3F1" w14:textId="77777777" w:rsidR="00FA6378" w:rsidRDefault="00FA6378">
      <w:r>
        <w:t>• 1 Samuel 21:6: "So the priest gave him holy bread; for there was no bread there but the showbread [lechem happanim] which had been taken from before the Lord."</w:t>
      </w:r>
    </w:p>
    <w:p w14:paraId="40840C92" w14:textId="77777777" w:rsidR="00FA6378" w:rsidRDefault="00FA6378">
      <w:r>
        <w:t>• 1 Kings 7:48: "Solomon had all the furnishings made for the house of the Lord: the altar of gold, and the table of gold on which was the showbread [lechem happanim]."</w:t>
      </w:r>
    </w:p>
    <w:p w14:paraId="4B01023B" w14:textId="77777777" w:rsidR="00FA6378" w:rsidRDefault="00FA6378">
      <w:r>
        <w:t>• 2 Chronicles 2:4: "Behold, I am building a temple for the name of the Lord my God... for the continual showbread [maareketh lechem]."</w:t>
      </w:r>
    </w:p>
    <w:p w14:paraId="48BA22AA" w14:textId="77777777" w:rsidR="00FA6378" w:rsidRDefault="00FA6378"/>
    <w:p w14:paraId="0C053F32" w14:textId="77777777" w:rsidR="00FA6378" w:rsidRPr="00FA6378" w:rsidRDefault="00FA6378">
      <w:pPr>
        <w:rPr>
          <w:b/>
        </w:rPr>
      </w:pPr>
      <w:r w:rsidRPr="00FA6378">
        <w:rPr>
          <w:b/>
        </w:rPr>
        <w:t xml:space="preserve"> 7. Other Relevant Insights</w:t>
      </w:r>
    </w:p>
    <w:p w14:paraId="4FC3F88C" w14:textId="77777777" w:rsidR="00FA6378" w:rsidRDefault="00FA6378">
      <w:r>
        <w:t xml:space="preserve">A striking detail of the showbread is that it was made from "fine flour" (soleth), which required extensive grinding and sifting. This suggests that the fellowship represented by the bread is not cheap or easily produced; it comes through refinement. </w:t>
      </w:r>
    </w:p>
    <w:p w14:paraId="51B18E47" w14:textId="77777777" w:rsidR="00FA6378" w:rsidRDefault="00FA6378"/>
    <w:p w14:paraId="023D198C" w14:textId="77777777" w:rsidR="00FA6378" w:rsidRDefault="00FA6378">
      <w:r>
        <w:t>Additionally, the bread was renewed every Sabbath. This cycle of renewal highlights the fresh, ongoing nature of God's covenant mercies. It was not meant to become stale or neglected. For pastors and teachers, this serves as a powerful reminder that our communion with God cannot rely on yesterday's spiritual food; we must seek a fresh, daily and weekly feeding upon Christ and His Word.</w:t>
      </w:r>
    </w:p>
    <w:p w14:paraId="7AEAE82A" w14:textId="77777777" w:rsidR="00FA6378" w:rsidRDefault="00FA6378"/>
    <w:p w14:paraId="52F2CA88" w14:textId="77777777" w:rsidR="00FA6378" w:rsidRPr="00FA6378" w:rsidRDefault="00FA6378">
      <w:pPr>
        <w:rPr>
          <w:b/>
        </w:rPr>
      </w:pPr>
      <w:r w:rsidRPr="00FA6378">
        <w:rPr>
          <w:b/>
        </w:rPr>
        <w:t xml:space="preserve"> 8. References</w:t>
      </w:r>
    </w:p>
    <w:p w14:paraId="7BAD200C" w14:textId="77777777" w:rsidR="00FA6378" w:rsidRDefault="00FA6378">
      <w:r>
        <w:t>• Theological Wordbook of the Old Testament (TWOT) #1105</w:t>
      </w:r>
    </w:p>
    <w:p w14:paraId="6A0E6806" w14:textId="77777777" w:rsidR="00FA6378" w:rsidRDefault="00FA6378">
      <w:r>
        <w:t>• Hebrew and Aramaic Lexicon of the Old Testament (HALOT) by Koehler and Baumgartner</w:t>
      </w:r>
    </w:p>
    <w:p w14:paraId="7E63E2C8" w14:textId="77777777" w:rsidR="00FA6378" w:rsidRDefault="00FA6378">
      <w:r>
        <w:t>• Brown-Driver-Briggs Hebrew and English Lexicon (BDB)</w:t>
      </w:r>
    </w:p>
    <w:p w14:paraId="216A3ADE" w14:textId="77777777" w:rsidR="00FA6378" w:rsidRDefault="00FA6378">
      <w:r>
        <w:t>• The Tabernacle by M.R. DeHaan</w:t>
      </w:r>
    </w:p>
    <w:p w14:paraId="3645F7B9" w14:textId="03611B36" w:rsidR="004C5552" w:rsidRDefault="00FA6378">
      <w:r>
        <w:t>• Gleanings in Exodus by Arthur W. Pink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3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6378"/>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68499"/>
  <w15:chartTrackingRefBased/>
  <w15:docId w15:val="{9BC1011C-0CB0-4406-970F-CA9BCAA1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6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6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378"/>
    <w:rPr>
      <w:rFonts w:eastAsiaTheme="majorEastAsia" w:cstheme="majorBidi"/>
      <w:color w:val="272727" w:themeColor="text1" w:themeTint="D8"/>
    </w:rPr>
  </w:style>
  <w:style w:type="paragraph" w:styleId="Title">
    <w:name w:val="Title"/>
    <w:basedOn w:val="Normal"/>
    <w:next w:val="Normal"/>
    <w:link w:val="TitleChar"/>
    <w:uiPriority w:val="10"/>
    <w:qFormat/>
    <w:rsid w:val="00FA6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378"/>
    <w:pPr>
      <w:spacing w:before="160"/>
      <w:jc w:val="center"/>
    </w:pPr>
    <w:rPr>
      <w:i/>
      <w:iCs/>
      <w:color w:val="404040" w:themeColor="text1" w:themeTint="BF"/>
    </w:rPr>
  </w:style>
  <w:style w:type="character" w:customStyle="1" w:styleId="QuoteChar">
    <w:name w:val="Quote Char"/>
    <w:basedOn w:val="DefaultParagraphFont"/>
    <w:link w:val="Quote"/>
    <w:uiPriority w:val="29"/>
    <w:rsid w:val="00FA6378"/>
    <w:rPr>
      <w:i/>
      <w:iCs/>
      <w:color w:val="404040" w:themeColor="text1" w:themeTint="BF"/>
    </w:rPr>
  </w:style>
  <w:style w:type="paragraph" w:styleId="ListParagraph">
    <w:name w:val="List Paragraph"/>
    <w:basedOn w:val="Normal"/>
    <w:uiPriority w:val="34"/>
    <w:qFormat/>
    <w:rsid w:val="00FA6378"/>
    <w:pPr>
      <w:ind w:left="720"/>
      <w:contextualSpacing/>
    </w:pPr>
  </w:style>
  <w:style w:type="character" w:styleId="IntenseEmphasis">
    <w:name w:val="Intense Emphasis"/>
    <w:basedOn w:val="DefaultParagraphFont"/>
    <w:uiPriority w:val="21"/>
    <w:qFormat/>
    <w:rsid w:val="00FA6378"/>
    <w:rPr>
      <w:i/>
      <w:iCs/>
      <w:color w:val="2E74B5" w:themeColor="accent1" w:themeShade="BF"/>
    </w:rPr>
  </w:style>
  <w:style w:type="paragraph" w:styleId="IntenseQuote">
    <w:name w:val="Intense Quote"/>
    <w:basedOn w:val="Normal"/>
    <w:next w:val="Normal"/>
    <w:link w:val="IntenseQuoteChar"/>
    <w:uiPriority w:val="30"/>
    <w:qFormat/>
    <w:rsid w:val="00FA63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6378"/>
    <w:rPr>
      <w:i/>
      <w:iCs/>
      <w:color w:val="2E74B5" w:themeColor="accent1" w:themeShade="BF"/>
    </w:rPr>
  </w:style>
  <w:style w:type="character" w:styleId="IntenseReference">
    <w:name w:val="Intense Reference"/>
    <w:basedOn w:val="DefaultParagraphFont"/>
    <w:uiPriority w:val="32"/>
    <w:qFormat/>
    <w:rsid w:val="00FA63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1114</Words>
  <Characters>6351</Characters>
  <Application>Microsoft Office Word</Application>
  <DocSecurity>0</DocSecurity>
  <Lines>52</Lines>
  <Paragraphs>14</Paragraphs>
  <ScaleCrop>false</ScaleCrop>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