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C89B0" w14:textId="77777777" w:rsidR="00C45C0D" w:rsidRPr="00C45C0D" w:rsidRDefault="00C45C0D">
      <w:pPr>
        <w:rPr>
          <w:b/>
        </w:rPr>
      </w:pPr>
      <w:r w:rsidRPr="00C45C0D">
        <w:rPr>
          <w:b/>
        </w:rPr>
        <w:t>SCREEN - ( masak , Strong's H4539 )</w:t>
      </w:r>
    </w:p>
    <w:p w14:paraId="6E4B7F3A" w14:textId="77777777" w:rsidR="00C45C0D" w:rsidRDefault="00C45C0D">
      <w:r w:rsidRPr="00C45C0D">
        <w:rPr>
          <w:b/>
        </w:rPr>
        <w:t>Summary:</w:t>
      </w:r>
    </w:p>
    <w:p w14:paraId="7ED633C9" w14:textId="77777777" w:rsidR="00C45C0D" w:rsidRDefault="00C45C0D">
      <w:r>
        <w:t>The Hebrew word masak refers to a protective covering, screen, or hanging used to partition space and guard entryways. In the context of the Tabernacle, it designates the beautifully woven screens that guarded the entrances to the Holy Place and the Outer Court, as well as the inner veil guarding the Holy of Holies. It represents a boundary of functional separation, indicating both access and restriction in approaching the holy presence of God.</w:t>
      </w:r>
    </w:p>
    <w:p w14:paraId="2784E693" w14:textId="77777777" w:rsidR="00C45C0D" w:rsidRDefault="00C45C0D"/>
    <w:p w14:paraId="6303B28E" w14:textId="77777777" w:rsidR="00C45C0D" w:rsidRDefault="00C45C0D">
      <w:r w:rsidRPr="00C45C0D">
        <w:rPr>
          <w:b/>
        </w:rPr>
        <w:t>Full Study:</w:t>
      </w:r>
    </w:p>
    <w:p w14:paraId="5237B28A" w14:textId="77777777" w:rsidR="00C45C0D" w:rsidRDefault="00C45C0D"/>
    <w:p w14:paraId="5738C149" w14:textId="77777777" w:rsidR="00C45C0D" w:rsidRPr="00C45C0D" w:rsidRDefault="00C45C0D">
      <w:pPr>
        <w:rPr>
          <w:b/>
        </w:rPr>
      </w:pPr>
      <w:r w:rsidRPr="00C45C0D">
        <w:rPr>
          <w:b/>
        </w:rPr>
        <w:t>1. Word Picture / Background</w:t>
      </w:r>
    </w:p>
    <w:p w14:paraId="5E3FBB1B" w14:textId="77777777" w:rsidR="00C45C0D" w:rsidRDefault="00C45C0D">
      <w:r>
        <w:t>The root verb behind masak is sakak, which means to hedge in, cover, protect, or overshadow. This root paints a picture of a protective canopy or a dense hedge that shields something precious from exposure or danger. Thus, a masak is not merely a decorative curtain, but a functional barrier designed to shield and cover. In the ancient Near East, tents of leaders or sacred shrines utilized heavily woven, colorful textiles at their entryways to safeguard the interior from the elements, dust, and unauthorized eyes, while simultaneously signaling the transition from common to sacred space.</w:t>
      </w:r>
    </w:p>
    <w:p w14:paraId="05EF4401" w14:textId="77777777" w:rsidR="00C45C0D" w:rsidRDefault="00C45C0D"/>
    <w:p w14:paraId="61719F06" w14:textId="77777777" w:rsidR="00C45C0D" w:rsidRPr="00C45C0D" w:rsidRDefault="00C45C0D">
      <w:pPr>
        <w:rPr>
          <w:b/>
        </w:rPr>
      </w:pPr>
      <w:r w:rsidRPr="00C45C0D">
        <w:rPr>
          <w:b/>
        </w:rPr>
        <w:t>2. Meaning / Lexical Definition</w:t>
      </w:r>
    </w:p>
    <w:p w14:paraId="5C8201ED" w14:textId="77777777" w:rsidR="00C45C0D" w:rsidRDefault="00C45C0D">
      <w:r>
        <w:t>The noun masak means a screen, covering, hanging, or drape. It is used specifically in the priestly texts of the Old Testament to denote the textile hangings of the Tabernacle. It refers to three primary barriers in the wilderness sanctuary:</w:t>
      </w:r>
    </w:p>
    <w:p w14:paraId="05BC56BA" w14:textId="77777777" w:rsidR="00C45C0D" w:rsidRDefault="00C45C0D">
      <w:r>
        <w:t>• The screen for the doorway of the Tabernacle (the entrance to the Holy Place from the Outer Court).</w:t>
      </w:r>
    </w:p>
    <w:p w14:paraId="214084C5" w14:textId="77777777" w:rsidR="00C45C0D" w:rsidRDefault="00C45C0D">
      <w:r>
        <w:t>• The screen for the gate of the court (the entrance to the Outer Court from the camp).</w:t>
      </w:r>
    </w:p>
    <w:p w14:paraId="7703C015" w14:textId="77777777" w:rsidR="00C45C0D" w:rsidRDefault="00C45C0D">
      <w:r>
        <w:t>• The inner veil (paroket) when acting as a screen that covered the Ark of the Testimony within the Most Holy Place.</w:t>
      </w:r>
    </w:p>
    <w:p w14:paraId="4C428DD0" w14:textId="77777777" w:rsidR="00C45C0D" w:rsidRDefault="00C45C0D"/>
    <w:p w14:paraId="385CE527" w14:textId="77777777" w:rsidR="00C45C0D" w:rsidRPr="00C45C0D" w:rsidRDefault="00C45C0D">
      <w:pPr>
        <w:rPr>
          <w:b/>
        </w:rPr>
      </w:pPr>
      <w:r w:rsidRPr="00C45C0D">
        <w:rPr>
          <w:b/>
        </w:rPr>
        <w:t>3. Usage and Word Pictures</w:t>
      </w:r>
    </w:p>
    <w:p w14:paraId="40665053" w14:textId="77777777" w:rsidR="00C45C0D" w:rsidRDefault="00C45C0D">
      <w:r>
        <w:t xml:space="preserve">In the Old Testament, masak is used predominantly in the books of Exodus and Numbers. Its imagery is deeply tied to the concepts of concealment, protection, and holy limitation. </w:t>
      </w:r>
    </w:p>
    <w:p w14:paraId="647536B3" w14:textId="77777777" w:rsidR="00C45C0D" w:rsidRDefault="00C45C0D">
      <w:r>
        <w:t>• A Guarded Entryway: Unlike a solid wooden or stone door, a fabric screen allowed priests to pass through while keeping the interior hidden from those outside. It served as a visual and physical boundary line.</w:t>
      </w:r>
    </w:p>
    <w:p w14:paraId="32884937" w14:textId="77777777" w:rsidR="00C45C0D" w:rsidRDefault="00C45C0D">
      <w:r>
        <w:t>• The Shadow of Protection: In poetic texts, related forms of this word are used to describe God's protective covering over His people, like a canopy that shelters them from heat or enemies. For example, a cloud is spread out for a "covering" over Israel in the wilderness.</w:t>
      </w:r>
    </w:p>
    <w:p w14:paraId="55C40ED9" w14:textId="77777777" w:rsidR="00C45C0D" w:rsidRDefault="00C45C0D"/>
    <w:p w14:paraId="3E5096DB" w14:textId="77777777" w:rsidR="00C45C0D" w:rsidRPr="00C45C0D" w:rsidRDefault="00C45C0D">
      <w:pPr>
        <w:rPr>
          <w:b/>
        </w:rPr>
      </w:pPr>
      <w:r w:rsidRPr="00C45C0D">
        <w:rPr>
          <w:b/>
        </w:rPr>
        <w:t>4. Theological Implications</w:t>
      </w:r>
    </w:p>
    <w:p w14:paraId="15B4BB47" w14:textId="77777777" w:rsidR="00C45C0D" w:rsidRDefault="00C45C0D">
      <w:r>
        <w:t>The presence of the masak at the Tabernacle entrances carries profound theological weight:</w:t>
      </w:r>
    </w:p>
    <w:p w14:paraId="367F855D" w14:textId="77777777" w:rsidR="00C45C0D" w:rsidRDefault="00C45C0D">
      <w:r>
        <w:t>• Graduated Holiness: The Tabernacle structure demonstrated that approaching God is a serious, ordered process. Each screen (masak) marked a deeper level of holiness and restricted access. The screen at the outer court gate kept the common camp out; the screen at the Tabernacle door kept the non-priestly Levites and Israelites out; and the inner veil kept everyone but the High Priest out.</w:t>
      </w:r>
    </w:p>
    <w:p w14:paraId="71F5AAA2" w14:textId="77777777" w:rsidR="00C45C0D" w:rsidRDefault="00C45C0D">
      <w:r>
        <w:t>• Grace and Barrier: The screen was a barrier, but it was also an invitation. It defined the doorway. God did not build an impenetrable wall; He provided a "screen" that could be bypassed by the designated mediators under specific, blood-cleansed conditions.</w:t>
      </w:r>
    </w:p>
    <w:p w14:paraId="6F29F875" w14:textId="77777777" w:rsidR="00C45C0D" w:rsidRDefault="00C45C0D">
      <w:r>
        <w:t>• Christology: In the New Testament, these boundaries find their fulfillment in Jesus Christ. While the masak kept people out, Christ opened the way. He is the "door" (John 10:9), and His flesh is the ultimate veil/screen that was torn to grant believers bold access into the very presence of God (Hebrews 10:19–20).</w:t>
      </w:r>
    </w:p>
    <w:p w14:paraId="488C7C29" w14:textId="77777777" w:rsidR="00C45C0D" w:rsidRDefault="00C45C0D"/>
    <w:p w14:paraId="740FC64E" w14:textId="77777777" w:rsidR="00C45C0D" w:rsidRPr="00C45C0D" w:rsidRDefault="00C45C0D">
      <w:pPr>
        <w:rPr>
          <w:b/>
        </w:rPr>
      </w:pPr>
      <w:r w:rsidRPr="00C45C0D">
        <w:rPr>
          <w:b/>
        </w:rPr>
        <w:t>5. Contextual Nuance in the Passage</w:t>
      </w:r>
    </w:p>
    <w:p w14:paraId="26240D0A" w14:textId="77777777" w:rsidR="00C45C0D" w:rsidRDefault="00C45C0D">
      <w:r>
        <w:t>In Exodus 35:15, Moses lists the items the people are to bring and construct for the Tabernacle. The "screen for the door at the entrance of the tabernacle" refers specifically to the hanging for the eastern entrance of the Holy Place. This screen was made of blue, purple, and scarlet yarn, and fine woven linen, crafted by an embroiderer, and hung on five pillars of acacia wood overlaid with gold. In this specific verse, the masak stands as a crucial element of the sanctuary's completeness. Without this screen, the sacred interior of the Holy Place—containing the table of showbread, the golden lampstand, and the altar of incense—would be exposed to the public eye of the outer court, violating the required distinction between the holy and the common.</w:t>
      </w:r>
    </w:p>
    <w:p w14:paraId="4FB82890" w14:textId="77777777" w:rsidR="00C45C0D" w:rsidRDefault="00C45C0D"/>
    <w:p w14:paraId="7BC81CA4" w14:textId="77777777" w:rsidR="00C45C0D" w:rsidRPr="00C45C0D" w:rsidRDefault="00C45C0D">
      <w:pPr>
        <w:rPr>
          <w:b/>
        </w:rPr>
      </w:pPr>
      <w:r w:rsidRPr="00C45C0D">
        <w:rPr>
          <w:b/>
        </w:rPr>
        <w:t>6. Key Uses in Other Verses (NKJV)</w:t>
      </w:r>
    </w:p>
    <w:p w14:paraId="02DAD2A8" w14:textId="77777777" w:rsidR="00C45C0D" w:rsidRDefault="00C45C0D">
      <w:r>
        <w:t>• Exodus 26:36: "You shall make a screen for the door of the tabernacle, woven of blue, purple, and scarlet thread, and fine linen, made by an embroiderer."</w:t>
      </w:r>
    </w:p>
    <w:p w14:paraId="67E6F24B" w14:textId="77777777" w:rsidR="00C45C0D" w:rsidRDefault="00C45C0D">
      <w:r>
        <w:t>• Exodus 39:40: "...the hangings of the court, its pillars and its sockets, the screen for the court gate, its cords, and its pegs..."</w:t>
      </w:r>
    </w:p>
    <w:p w14:paraId="2A0D3118" w14:textId="77777777" w:rsidR="00C45C0D" w:rsidRDefault="00C45C0D">
      <w:r>
        <w:t>• Numbers 3:25: "The duties of the children of Gershon in the tabernacle of meeting included the tabernacle and the tent, its covering, the screen for the door of the tabernacle of meeting,"</w:t>
      </w:r>
    </w:p>
    <w:p w14:paraId="1F0D4CF7" w14:textId="77777777" w:rsidR="00C45C0D" w:rsidRDefault="00C45C0D">
      <w:r>
        <w:t>• Numbers 4:5: "When the camp prepares to journey, Aaron and his sons shall come, and they shall take down the covering veil and cover the ark of the Testimony with it."</w:t>
      </w:r>
    </w:p>
    <w:p w14:paraId="48FC8ED3" w14:textId="77777777" w:rsidR="00C45C0D" w:rsidRDefault="00C45C0D">
      <w:r>
        <w:t>• Psalm 105:39: "He spread a cloud for a covering, and fire to give light in the night."</w:t>
      </w:r>
    </w:p>
    <w:p w14:paraId="48A0704D" w14:textId="77777777" w:rsidR="00C45C0D" w:rsidRDefault="00C45C0D"/>
    <w:p w14:paraId="188D5951" w14:textId="77777777" w:rsidR="00C45C0D" w:rsidRPr="00C45C0D" w:rsidRDefault="00C45C0D">
      <w:pPr>
        <w:rPr>
          <w:b/>
        </w:rPr>
      </w:pPr>
      <w:r w:rsidRPr="00C45C0D">
        <w:rPr>
          <w:b/>
        </w:rPr>
        <w:t>7. Other Relevant Insights</w:t>
      </w:r>
    </w:p>
    <w:p w14:paraId="5899DA91" w14:textId="77777777" w:rsidR="00C45C0D" w:rsidRDefault="00C45C0D">
      <w:r>
        <w:t>The colors of the masak—blue, purple, scarlet, and fine white linen—were identical to the colors of the inner Tabernacle curtains and the High Priest's garments. This color consistency served as a visual cue to anyone approaching. The screen signaled that what lay beyond was of the same heavenly, royal, and pure character as the God who dwelt within. Furthermore, while the inner veil separating the Holy Place from the Most Holy Place had cherubim woven into it, the entrance screens (masak) did not have cherubim. This subtle difference in design marked the progressive levels of proximity to the divine presence.</w:t>
      </w:r>
    </w:p>
    <w:p w14:paraId="66FEB542" w14:textId="77777777" w:rsidR="00C45C0D" w:rsidRDefault="00C45C0D"/>
    <w:p w14:paraId="4B52B8F9" w14:textId="77777777" w:rsidR="00C45C0D" w:rsidRPr="00C45C0D" w:rsidRDefault="00C45C0D">
      <w:pPr>
        <w:rPr>
          <w:b/>
        </w:rPr>
      </w:pPr>
      <w:r w:rsidRPr="00C45C0D">
        <w:rPr>
          <w:b/>
        </w:rPr>
        <w:t>8. References</w:t>
      </w:r>
    </w:p>
    <w:p w14:paraId="6A07C9EC" w14:textId="77777777" w:rsidR="00C45C0D" w:rsidRDefault="00C45C0D">
      <w:r>
        <w:t>• Brown-Driver-Briggs Hebrew and English Lexicon</w:t>
      </w:r>
    </w:p>
    <w:p w14:paraId="1AFF1D51" w14:textId="77777777" w:rsidR="00C45C0D" w:rsidRDefault="00C45C0D">
      <w:r>
        <w:t>• Theological Wordbook of the Old Testament</w:t>
      </w:r>
    </w:p>
    <w:p w14:paraId="497161D9" w14:textId="77777777" w:rsidR="00C45C0D" w:rsidRDefault="00C45C0D">
      <w:r>
        <w:t>• Hebrew-Aramaic Lexicon of the Old Testament</w:t>
      </w:r>
    </w:p>
    <w:p w14:paraId="76966BDE" w14:textId="77777777" w:rsidR="00C45C0D" w:rsidRDefault="00C45C0D">
      <w:r>
        <w:t>• Vine's Complete Expository Dictionary of Old and New Testament Words</w:t>
      </w:r>
    </w:p>
    <w:p w14:paraId="2B071C52" w14:textId="03B509DB" w:rsidR="004C5552" w:rsidRDefault="00C45C0D">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C0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5C0D"/>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541A"/>
  <w15:chartTrackingRefBased/>
  <w15:docId w15:val="{2217BAF6-45FD-48E1-9CBB-2EC3C6463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5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5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C0D"/>
    <w:rPr>
      <w:rFonts w:eastAsiaTheme="majorEastAsia" w:cstheme="majorBidi"/>
      <w:color w:val="272727" w:themeColor="text1" w:themeTint="D8"/>
    </w:rPr>
  </w:style>
  <w:style w:type="paragraph" w:styleId="Title">
    <w:name w:val="Title"/>
    <w:basedOn w:val="Normal"/>
    <w:next w:val="Normal"/>
    <w:link w:val="TitleChar"/>
    <w:uiPriority w:val="10"/>
    <w:qFormat/>
    <w:rsid w:val="00C45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C0D"/>
    <w:pPr>
      <w:spacing w:before="160"/>
      <w:jc w:val="center"/>
    </w:pPr>
    <w:rPr>
      <w:i/>
      <w:iCs/>
      <w:color w:val="404040" w:themeColor="text1" w:themeTint="BF"/>
    </w:rPr>
  </w:style>
  <w:style w:type="character" w:customStyle="1" w:styleId="QuoteChar">
    <w:name w:val="Quote Char"/>
    <w:basedOn w:val="DefaultParagraphFont"/>
    <w:link w:val="Quote"/>
    <w:uiPriority w:val="29"/>
    <w:rsid w:val="00C45C0D"/>
    <w:rPr>
      <w:i/>
      <w:iCs/>
      <w:color w:val="404040" w:themeColor="text1" w:themeTint="BF"/>
    </w:rPr>
  </w:style>
  <w:style w:type="paragraph" w:styleId="ListParagraph">
    <w:name w:val="List Paragraph"/>
    <w:basedOn w:val="Normal"/>
    <w:uiPriority w:val="34"/>
    <w:qFormat/>
    <w:rsid w:val="00C45C0D"/>
    <w:pPr>
      <w:ind w:left="720"/>
      <w:contextualSpacing/>
    </w:pPr>
  </w:style>
  <w:style w:type="character" w:styleId="IntenseEmphasis">
    <w:name w:val="Intense Emphasis"/>
    <w:basedOn w:val="DefaultParagraphFont"/>
    <w:uiPriority w:val="21"/>
    <w:qFormat/>
    <w:rsid w:val="00C45C0D"/>
    <w:rPr>
      <w:i/>
      <w:iCs/>
      <w:color w:val="2E74B5" w:themeColor="accent1" w:themeShade="BF"/>
    </w:rPr>
  </w:style>
  <w:style w:type="paragraph" w:styleId="IntenseQuote">
    <w:name w:val="Intense Quote"/>
    <w:basedOn w:val="Normal"/>
    <w:next w:val="Normal"/>
    <w:link w:val="IntenseQuoteChar"/>
    <w:uiPriority w:val="30"/>
    <w:qFormat/>
    <w:rsid w:val="00C45C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5C0D"/>
    <w:rPr>
      <w:i/>
      <w:iCs/>
      <w:color w:val="2E74B5" w:themeColor="accent1" w:themeShade="BF"/>
    </w:rPr>
  </w:style>
  <w:style w:type="character" w:styleId="IntenseReference">
    <w:name w:val="Intense Reference"/>
    <w:basedOn w:val="DefaultParagraphFont"/>
    <w:uiPriority w:val="32"/>
    <w:qFormat/>
    <w:rsid w:val="00C45C0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894</Words>
  <Characters>5098</Characters>
  <Application>Microsoft Office Word</Application>
  <DocSecurity>0</DocSecurity>
  <Lines>42</Lines>
  <Paragraphs>11</Paragraphs>
  <ScaleCrop>false</ScaleCrop>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