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7B413" w14:textId="77777777" w:rsidR="00651F53" w:rsidRPr="00651F53" w:rsidRDefault="00651F53">
      <w:pPr>
        <w:rPr>
          <w:b/>
        </w:rPr>
      </w:pPr>
      <w:r w:rsidRPr="00651F53">
        <w:rPr>
          <w:b/>
        </w:rPr>
        <w:t>GRATE - ( mikhbar , Strong's H4345 )</w:t>
      </w:r>
    </w:p>
    <w:p w14:paraId="0ED8754D" w14:textId="77777777" w:rsidR="00651F53" w:rsidRDefault="00651F53">
      <w:r w:rsidRPr="00651F53">
        <w:rPr>
          <w:b/>
        </w:rPr>
        <w:t>Summary:</w:t>
      </w:r>
    </w:p>
    <w:p w14:paraId="5A27BEDE" w14:textId="77777777" w:rsidR="00651F53" w:rsidRDefault="00651F53">
      <w:r>
        <w:t>The Hebrew word mikhbar refers to the bronze lattice-work or grate that was set inside the altar of burnt offering in the Tabernacle. Derived from a root meaning to weave or net, this functional component allowed ashes to fall through while supporting the sacrifice amidst the consuming fire. In Exodus 35:16, the grate is listed among the essential holy vessels prepared by the skilled artisans. Pastorally, the grate reminds us that God's provisions for atonement are both thoroughly practical and beautifully designed, ensuring that the fire of His holiness consumes the offering completely while keeping the place of worship orderly and clean.</w:t>
      </w:r>
    </w:p>
    <w:p w14:paraId="38B9FF75" w14:textId="77777777" w:rsidR="00651F53" w:rsidRDefault="00651F53"/>
    <w:p w14:paraId="14520EC4" w14:textId="77777777" w:rsidR="00651F53" w:rsidRDefault="00651F53">
      <w:r w:rsidRPr="00651F53">
        <w:rPr>
          <w:b/>
        </w:rPr>
        <w:t>Full Study:</w:t>
      </w:r>
    </w:p>
    <w:p w14:paraId="31857C67" w14:textId="77777777" w:rsidR="00651F53" w:rsidRDefault="00651F53"/>
    <w:p w14:paraId="18DB5EAB" w14:textId="77777777" w:rsidR="00651F53" w:rsidRPr="00651F53" w:rsidRDefault="00651F53">
      <w:pPr>
        <w:rPr>
          <w:b/>
        </w:rPr>
      </w:pPr>
      <w:r w:rsidRPr="00651F53">
        <w:rPr>
          <w:b/>
        </w:rPr>
        <w:t>1. Word Picture / Background</w:t>
      </w:r>
    </w:p>
    <w:p w14:paraId="6696721D" w14:textId="77777777" w:rsidR="00651F53" w:rsidRDefault="00651F53">
      <w:r>
        <w:t>The noun mikhbar comes from the primitive root kavar, which means to bind together, twine, or weave. This root also yields kevarah, the word for a sieve used to sift grain. The word picture is that of a heavily woven bronze mesh or network. Rather than a solid plate of metal, the grate was a durable, crisscrossed web of bronze. This design allowed air to circulate upward to feed the fire, while simultaneously letting the ashes of the burned sacrifices sift downward to the base of the altar, keeping the fire burning pure and unobstructed.</w:t>
      </w:r>
    </w:p>
    <w:p w14:paraId="2BE74B57" w14:textId="77777777" w:rsidR="00651F53" w:rsidRDefault="00651F53"/>
    <w:p w14:paraId="7792AABA" w14:textId="77777777" w:rsidR="00651F53" w:rsidRPr="00651F53" w:rsidRDefault="00651F53">
      <w:pPr>
        <w:rPr>
          <w:b/>
        </w:rPr>
      </w:pPr>
      <w:r w:rsidRPr="00651F53">
        <w:rPr>
          <w:b/>
        </w:rPr>
        <w:t>2. Meaning / Lexical Definition</w:t>
      </w:r>
    </w:p>
    <w:p w14:paraId="262246D3" w14:textId="77777777" w:rsidR="00651F53" w:rsidRDefault="00651F53">
      <w:r>
        <w:t>Lexically, mikhbar means a lattice, grate, or network. It is used exclusively in the Old Testament to describe the bronze mesh insert of the altar of burnt offering. Made of bronze (nechoshet), this grate was designed to withstand the intense, continuous heat of the sacrificial fire. It was situated halfway down inside the hollow acacia-wood altar, which was overlaid with bronze, serving as the physical platform where the sacrificial animals were laid.</w:t>
      </w:r>
    </w:p>
    <w:p w14:paraId="09B1A3D9" w14:textId="77777777" w:rsidR="00651F53" w:rsidRDefault="00651F53"/>
    <w:p w14:paraId="7CE0658F" w14:textId="77777777" w:rsidR="00651F53" w:rsidRPr="00651F53" w:rsidRDefault="00651F53">
      <w:pPr>
        <w:rPr>
          <w:b/>
        </w:rPr>
      </w:pPr>
      <w:r w:rsidRPr="00651F53">
        <w:rPr>
          <w:b/>
        </w:rPr>
        <w:t>3. Usage and Word Pictures</w:t>
      </w:r>
    </w:p>
    <w:p w14:paraId="23EE1566" w14:textId="77777777" w:rsidR="00651F53" w:rsidRDefault="00651F53">
      <w:r>
        <w:t>The physical construction and placement of the mikhbar paint a vivid picture of functional holiness:</w:t>
      </w:r>
    </w:p>
    <w:p w14:paraId="05CD600A" w14:textId="77777777" w:rsidR="00651F53" w:rsidRDefault="00651F53">
      <w:r>
        <w:t>• The Mesh of Judgment: The grate was made of bronze, a metal associated in biblical imagery with strength, endurance, and the capacity to bear judgment (as seen in the bronze serpent of Numbers 21).</w:t>
      </w:r>
    </w:p>
    <w:p w14:paraId="6C13AD1D" w14:textId="77777777" w:rsidR="00651F53" w:rsidRDefault="00651F53">
      <w:r>
        <w:t>• The Sieve of Separation: Just as a sieve separates the wheat from the chaff, the grate separated the offering from its ash. It allowed the non-essential residue to drop away so that the holy fire could focus entirely on the sacrifice itself.</w:t>
      </w:r>
    </w:p>
    <w:p w14:paraId="2ADCB669" w14:textId="77777777" w:rsidR="00651F53" w:rsidRDefault="00651F53">
      <w:r>
        <w:t>• The Hidden Support: Situated midway inside the altar, the grate was not fully visible from the outside, yet it bore the entire weight of the offerings. It speaks of the internal, structural integrity required in the service of God.</w:t>
      </w:r>
    </w:p>
    <w:p w14:paraId="1530A9AC" w14:textId="77777777" w:rsidR="00651F53" w:rsidRDefault="00651F53"/>
    <w:p w14:paraId="560CCA2D" w14:textId="77777777" w:rsidR="00651F53" w:rsidRPr="00651F53" w:rsidRDefault="00651F53">
      <w:pPr>
        <w:rPr>
          <w:b/>
        </w:rPr>
      </w:pPr>
      <w:r w:rsidRPr="00651F53">
        <w:rPr>
          <w:b/>
        </w:rPr>
        <w:t>4. Theological Implications</w:t>
      </w:r>
    </w:p>
    <w:p w14:paraId="10BB1771" w14:textId="77777777" w:rsidR="00651F53" w:rsidRDefault="00651F53">
      <w:r>
        <w:t>The altar of burnt offering is the place where God's holiness and human sin met through a substitutionary sacrifice. The mikhbar has rich theological resonance:</w:t>
      </w:r>
    </w:p>
    <w:p w14:paraId="1E6EBB65" w14:textId="77777777" w:rsidR="00651F53" w:rsidRDefault="00651F53">
      <w:r>
        <w:t>• Sustained under Fire: The bronze grate had to endure the constant, fierce heat of the sacrificial fire without melting or warping. This points forward to Jesus Christ, who endured the fiery wrath of God’s judgment against sin on the cross, remaining unconsumed and victorious.</w:t>
      </w:r>
    </w:p>
    <w:p w14:paraId="487BFB22" w14:textId="77777777" w:rsidR="00651F53" w:rsidRDefault="00651F53">
      <w:r>
        <w:t>• Perfect Consumption: Because the grate allowed oxygen to flow freely from beneath, the sacrifice was consumed completely and cleanly. God's judgment of sin is not partial or messy; it is complete, orderly, and perfectly satisfied.</w:t>
      </w:r>
    </w:p>
    <w:p w14:paraId="7C66B6B8" w14:textId="77777777" w:rsidR="00651F53" w:rsidRDefault="00651F53">
      <w:r>
        <w:t>• Order in Worship: God is not the author of confusion but of order. The design of the grate ensured that the ash did not choke the fire, representing how God provides the practical means to sustain continuous communion and worship without spiritual stagnation.</w:t>
      </w:r>
    </w:p>
    <w:p w14:paraId="493C4F8F" w14:textId="77777777" w:rsidR="00651F53" w:rsidRDefault="00651F53"/>
    <w:p w14:paraId="0BDF3B95" w14:textId="77777777" w:rsidR="00651F53" w:rsidRPr="00651F53" w:rsidRDefault="00651F53">
      <w:pPr>
        <w:rPr>
          <w:b/>
        </w:rPr>
      </w:pPr>
      <w:r w:rsidRPr="00651F53">
        <w:rPr>
          <w:b/>
        </w:rPr>
        <w:t>5. Contextual Nuance in the Passage</w:t>
      </w:r>
    </w:p>
    <w:p w14:paraId="0950D20D" w14:textId="77777777" w:rsidR="00651F53" w:rsidRDefault="00651F53">
      <w:r>
        <w:t>In Exodus 35:16, Moses is assembling the congregation of Israel to contribute materials and labor for the Tabernacle. The mention of the "bronze grate" alongside the altar, its poles, and its utensils highlights that every detail of God's house matters. Even the interior, soot-covered components of the altar are deemed holy and worthy of careful inventory. For the believer, this teaches that the behind-the-scenes, less visible areas of service and preparation are just as vital to God's work as the prominent, highly visible elements.</w:t>
      </w:r>
    </w:p>
    <w:p w14:paraId="45F1218B" w14:textId="77777777" w:rsidR="00651F53" w:rsidRDefault="00651F53"/>
    <w:p w14:paraId="0591CBA4" w14:textId="77777777" w:rsidR="00651F53" w:rsidRPr="00651F53" w:rsidRDefault="00651F53">
      <w:pPr>
        <w:rPr>
          <w:b/>
        </w:rPr>
      </w:pPr>
      <w:r w:rsidRPr="00651F53">
        <w:rPr>
          <w:b/>
        </w:rPr>
        <w:t>6. Key Uses in Other Verses (NKJV)</w:t>
      </w:r>
    </w:p>
    <w:p w14:paraId="7821D141" w14:textId="77777777" w:rsidR="00651F53" w:rsidRDefault="00651F53">
      <w:r>
        <w:t>• Exodus 27:4 – "You shall make a grate for it, a network of bronze; and on the network you shall make four bronze rings at its four corners."</w:t>
      </w:r>
    </w:p>
    <w:p w14:paraId="359A8D67" w14:textId="77777777" w:rsidR="00651F53" w:rsidRDefault="00651F53">
      <w:r>
        <w:t>• Exodus 38:4 – "He made a grate, a network of bronze, for the altar, under its rim, midway from the bottom."</w:t>
      </w:r>
    </w:p>
    <w:p w14:paraId="0712D8C7" w14:textId="77777777" w:rsidR="00651F53" w:rsidRDefault="00651F53">
      <w:r>
        <w:t>• Exodus 38:30 – "and with it he made the sockets for the door of the tabernacle of meeting, the bronze altar, the bronze grate for it, and all the utensils of the altar,"</w:t>
      </w:r>
    </w:p>
    <w:p w14:paraId="56FAAD64" w14:textId="77777777" w:rsidR="00651F53" w:rsidRDefault="00651F53">
      <w:r>
        <w:t>• Exodus 39:39 – "the bronze altar with its grate of bronze, its poles, all its utensils, and the laver with its base;"</w:t>
      </w:r>
    </w:p>
    <w:p w14:paraId="045C835C" w14:textId="77777777" w:rsidR="00651F53" w:rsidRDefault="00651F53"/>
    <w:p w14:paraId="57A19AF6" w14:textId="77777777" w:rsidR="00651F53" w:rsidRPr="00651F53" w:rsidRDefault="00651F53">
      <w:pPr>
        <w:rPr>
          <w:b/>
        </w:rPr>
      </w:pPr>
      <w:r w:rsidRPr="00651F53">
        <w:rPr>
          <w:b/>
        </w:rPr>
        <w:t>7. Other Relevant Insights</w:t>
      </w:r>
    </w:p>
    <w:p w14:paraId="6391A7A4" w14:textId="77777777" w:rsidR="00651F53" w:rsidRDefault="00651F53">
      <w:r>
        <w:t>In ancient Near Eastern worship, altars were often solid mounds of earth or stone. The Tabernacle's altar, however, was portable, hollow, and equipped with this unique bronze grate. This designed portability allowed the altar of atonement to travel with the wilderness-wandering Israelites. Wherever they went, the bronze grate was ready to receive the sacrifices, showing that God's provision for cleansing and access to His presence is adaptable, mobile, and always available to His people on their journey.</w:t>
      </w:r>
    </w:p>
    <w:p w14:paraId="59479BF7" w14:textId="77777777" w:rsidR="00651F53" w:rsidRDefault="00651F53"/>
    <w:p w14:paraId="027B8343" w14:textId="77777777" w:rsidR="00651F53" w:rsidRPr="00651F53" w:rsidRDefault="00651F53">
      <w:pPr>
        <w:rPr>
          <w:b/>
        </w:rPr>
      </w:pPr>
      <w:r w:rsidRPr="00651F53">
        <w:rPr>
          <w:b/>
        </w:rPr>
        <w:t>8. References</w:t>
      </w:r>
    </w:p>
    <w:p w14:paraId="31926E96" w14:textId="77777777" w:rsidR="00651F53" w:rsidRDefault="00651F53">
      <w:r>
        <w:t>• Brown-Driver-Briggs Hebrew and English Lexicon</w:t>
      </w:r>
    </w:p>
    <w:p w14:paraId="4B11B908" w14:textId="77777777" w:rsidR="00651F53" w:rsidRDefault="00651F53">
      <w:r>
        <w:t>• Theological Wordbook of the Old Testament</w:t>
      </w:r>
    </w:p>
    <w:p w14:paraId="42EADE99" w14:textId="77777777" w:rsidR="00651F53" w:rsidRDefault="00651F53">
      <w:r>
        <w:t>• Gesenius' Hebrew and Chaldee Lexicon</w:t>
      </w:r>
    </w:p>
    <w:p w14:paraId="5B35203B" w14:textId="476A7AFC" w:rsidR="004C5552" w:rsidRDefault="00651F53">
      <w:r>
        <w:t>• Nelson's Expository Dictionary of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F5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F53"/>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A8AE0"/>
  <w15:chartTrackingRefBased/>
  <w15:docId w15:val="{A4B29888-592D-475C-9027-71225AC5C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1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1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F53"/>
    <w:rPr>
      <w:rFonts w:eastAsiaTheme="majorEastAsia" w:cstheme="majorBidi"/>
      <w:color w:val="272727" w:themeColor="text1" w:themeTint="D8"/>
    </w:rPr>
  </w:style>
  <w:style w:type="paragraph" w:styleId="Title">
    <w:name w:val="Title"/>
    <w:basedOn w:val="Normal"/>
    <w:next w:val="Normal"/>
    <w:link w:val="TitleChar"/>
    <w:uiPriority w:val="10"/>
    <w:qFormat/>
    <w:rsid w:val="00651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F53"/>
    <w:pPr>
      <w:spacing w:before="160"/>
      <w:jc w:val="center"/>
    </w:pPr>
    <w:rPr>
      <w:i/>
      <w:iCs/>
      <w:color w:val="404040" w:themeColor="text1" w:themeTint="BF"/>
    </w:rPr>
  </w:style>
  <w:style w:type="character" w:customStyle="1" w:styleId="QuoteChar">
    <w:name w:val="Quote Char"/>
    <w:basedOn w:val="DefaultParagraphFont"/>
    <w:link w:val="Quote"/>
    <w:uiPriority w:val="29"/>
    <w:rsid w:val="00651F53"/>
    <w:rPr>
      <w:i/>
      <w:iCs/>
      <w:color w:val="404040" w:themeColor="text1" w:themeTint="BF"/>
    </w:rPr>
  </w:style>
  <w:style w:type="paragraph" w:styleId="ListParagraph">
    <w:name w:val="List Paragraph"/>
    <w:basedOn w:val="Normal"/>
    <w:uiPriority w:val="34"/>
    <w:qFormat/>
    <w:rsid w:val="00651F53"/>
    <w:pPr>
      <w:ind w:left="720"/>
      <w:contextualSpacing/>
    </w:pPr>
  </w:style>
  <w:style w:type="character" w:styleId="IntenseEmphasis">
    <w:name w:val="Intense Emphasis"/>
    <w:basedOn w:val="DefaultParagraphFont"/>
    <w:uiPriority w:val="21"/>
    <w:qFormat/>
    <w:rsid w:val="00651F53"/>
    <w:rPr>
      <w:i/>
      <w:iCs/>
      <w:color w:val="2E74B5" w:themeColor="accent1" w:themeShade="BF"/>
    </w:rPr>
  </w:style>
  <w:style w:type="paragraph" w:styleId="IntenseQuote">
    <w:name w:val="Intense Quote"/>
    <w:basedOn w:val="Normal"/>
    <w:next w:val="Normal"/>
    <w:link w:val="IntenseQuoteChar"/>
    <w:uiPriority w:val="30"/>
    <w:qFormat/>
    <w:rsid w:val="00651F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1F53"/>
    <w:rPr>
      <w:i/>
      <w:iCs/>
      <w:color w:val="2E74B5" w:themeColor="accent1" w:themeShade="BF"/>
    </w:rPr>
  </w:style>
  <w:style w:type="character" w:styleId="IntenseReference">
    <w:name w:val="Intense Reference"/>
    <w:basedOn w:val="DefaultParagraphFont"/>
    <w:uiPriority w:val="32"/>
    <w:qFormat/>
    <w:rsid w:val="00651F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811</Words>
  <Characters>4629</Characters>
  <Application>Microsoft Office Word</Application>
  <DocSecurity>0</DocSecurity>
  <Lines>38</Lines>
  <Paragraphs>10</Paragraphs>
  <ScaleCrop>false</ScaleCrop>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2026-08-14T11:15:00Z</dcterms:created>
  <dcterms:modified xsi:type="dcterms:W3CDTF">2026-08-14T11:16:00Z</dcterms:modified>
</cp:coreProperties>
</file>