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8B60" w14:textId="77777777" w:rsidR="00157D05" w:rsidRPr="00157D05" w:rsidRDefault="00157D05">
      <w:pPr>
        <w:rPr>
          <w:b/>
        </w:rPr>
      </w:pPr>
      <w:r w:rsidRPr="00157D05">
        <w:rPr>
          <w:b/>
        </w:rPr>
        <w:t>TENONS - ( yad , Strong's H3027 )</w:t>
      </w:r>
    </w:p>
    <w:p w14:paraId="58C4FECD" w14:textId="77777777" w:rsidR="00157D05" w:rsidRDefault="00157D05">
      <w:r w:rsidRPr="00157D05">
        <w:rPr>
          <w:b/>
        </w:rPr>
        <w:t>Summary:</w:t>
      </w:r>
    </w:p>
    <w:p w14:paraId="5AA9797C" w14:textId="77777777" w:rsidR="00157D05" w:rsidRDefault="00157D05">
      <w:r>
        <w:t>The Hebrew word translated "tenons" is yad, which literally means "hand." In the architectural design of the Tabernacle, this term is used metaphorically to describe the projecting wooden pegs or joints at the base of the upright acacia boards. These "hands" reached down to clasp and fit securely into the silver sockets below, providing the essential stability, alignment, and structural unity needed for the entire sacred tent.</w:t>
      </w:r>
    </w:p>
    <w:p w14:paraId="36CB30B0" w14:textId="77777777" w:rsidR="00157D05" w:rsidRDefault="00157D05"/>
    <w:p w14:paraId="1F2473A5" w14:textId="77777777" w:rsidR="00157D05" w:rsidRDefault="00157D05">
      <w:r w:rsidRPr="00157D05">
        <w:rPr>
          <w:b/>
        </w:rPr>
        <w:t>Full Study:</w:t>
      </w:r>
    </w:p>
    <w:p w14:paraId="31ECA193" w14:textId="77777777" w:rsidR="00157D05" w:rsidRDefault="00157D05"/>
    <w:p w14:paraId="53B799B5" w14:textId="77777777" w:rsidR="00157D05" w:rsidRPr="00157D05" w:rsidRDefault="00157D05">
      <w:pPr>
        <w:rPr>
          <w:b/>
        </w:rPr>
      </w:pPr>
      <w:r w:rsidRPr="00157D05">
        <w:rPr>
          <w:b/>
        </w:rPr>
        <w:t xml:space="preserve"> 1. Word Picture / Background</w:t>
      </w:r>
    </w:p>
    <w:p w14:paraId="6F77166E" w14:textId="77777777" w:rsidR="00157D05" w:rsidRDefault="00157D05">
      <w:r>
        <w:t>The primary meaning of yad is the human "hand." In ancient Near Eastern thought, the hand was the instrument of action, power, security, and connection. When applied metaphorically to the architecture of the Tabernacle frames in Exodus, these "hands" became structural projections—what modern woodworkers call tenons. Just as human hands grasp and hold objects securely, these wooden tenons reached down from the heavy acacia boards to grasp and lock into the mortises (hollowed-out sockets) of the silver bases. This vivid word picture highlights how the physical components of God's dwelling place "held hands" to form a secure, unified structure.</w:t>
      </w:r>
    </w:p>
    <w:p w14:paraId="2AF01D0C" w14:textId="77777777" w:rsidR="00157D05" w:rsidRDefault="00157D05"/>
    <w:p w14:paraId="37995021" w14:textId="77777777" w:rsidR="00157D05" w:rsidRPr="00157D05" w:rsidRDefault="00157D05">
      <w:pPr>
        <w:rPr>
          <w:b/>
        </w:rPr>
      </w:pPr>
      <w:r w:rsidRPr="00157D05">
        <w:rPr>
          <w:b/>
        </w:rPr>
        <w:t xml:space="preserve"> 2. Meaning / Lexical Definition</w:t>
      </w:r>
    </w:p>
    <w:p w14:paraId="44822244" w14:textId="77777777" w:rsidR="00157D05" w:rsidRDefault="00157D05">
      <w:r>
        <w:t>The noun yad is a highly versatile Hebrew word. While it refers to the literal hand or forearm over a thousand times, its extended semantic range includes:</w:t>
      </w:r>
    </w:p>
    <w:p w14:paraId="1B0925BD" w14:textId="77777777" w:rsidR="00157D05" w:rsidRDefault="00157D05">
      <w:r>
        <w:t>• Power, strength, or control ("into the hand of").</w:t>
      </w:r>
    </w:p>
    <w:p w14:paraId="25734A5B" w14:textId="77777777" w:rsidR="00157D05" w:rsidRDefault="00157D05">
      <w:r>
        <w:t>• Agency or instrument ("by the hand of").</w:t>
      </w:r>
    </w:p>
    <w:p w14:paraId="185B68E9" w14:textId="77777777" w:rsidR="00157D05" w:rsidRDefault="00157D05">
      <w:r>
        <w:t>• Direction, side, or border (as in "the side of the river").</w:t>
      </w:r>
    </w:p>
    <w:p w14:paraId="1ED11BE7" w14:textId="77777777" w:rsidR="00157D05" w:rsidRDefault="00157D05">
      <w:r>
        <w:t>• A monument or memorial marker (literally "a hand" raised up).</w:t>
      </w:r>
    </w:p>
    <w:p w14:paraId="3A8667D2" w14:textId="77777777" w:rsidR="00157D05" w:rsidRDefault="00157D05">
      <w:r>
        <w:t>• Physical projections, stays, or supports in carpentry and metalwork.</w:t>
      </w:r>
    </w:p>
    <w:p w14:paraId="126E293F" w14:textId="77777777" w:rsidR="00157D05" w:rsidRDefault="00157D05"/>
    <w:p w14:paraId="3C661117" w14:textId="77777777" w:rsidR="00157D05" w:rsidRDefault="00157D05">
      <w:r>
        <w:t>In the structural descriptions of the Tabernacle (Exodus 26 and 36) and Solomon's temple (1 Kings 7), yad (specifically in its feminine plural form, yadot) refers to projecting pieces, tenons, or armrests that hold structural elements together.</w:t>
      </w:r>
    </w:p>
    <w:p w14:paraId="52EC6E55" w14:textId="77777777" w:rsidR="00157D05" w:rsidRDefault="00157D05"/>
    <w:p w14:paraId="7C452CDB" w14:textId="77777777" w:rsidR="00157D05" w:rsidRPr="00157D05" w:rsidRDefault="00157D05">
      <w:pPr>
        <w:rPr>
          <w:b/>
        </w:rPr>
      </w:pPr>
      <w:r w:rsidRPr="00157D05">
        <w:rPr>
          <w:b/>
        </w:rPr>
        <w:t xml:space="preserve"> 3. Usage and Word Pictures</w:t>
      </w:r>
    </w:p>
    <w:p w14:paraId="1808F8E1" w14:textId="77777777" w:rsidR="00157D05" w:rsidRDefault="00157D05">
      <w:r>
        <w:t>The biblical writers frequently adapted the concept of the hand to non-human elements to illustrate stability and support:</w:t>
      </w:r>
    </w:p>
    <w:p w14:paraId="6455ADE5" w14:textId="77777777" w:rsidR="00157D05" w:rsidRDefault="00157D05">
      <w:r>
        <w:t>• Structural Supports: In 1 Kings 7:32, the word refers to the "axles" or "supports" of the wheels on the bronze carts, which held the wheels firmly in place.</w:t>
      </w:r>
    </w:p>
    <w:p w14:paraId="1BFB72F0" w14:textId="77777777" w:rsidR="00157D05" w:rsidRDefault="00157D05">
      <w:r>
        <w:t>• Armrests: In 1 Kings 10:19, the word describes the "armrests" or "stays" on either side of Solomon's magnificent ivory throne, providing physical support and security.</w:t>
      </w:r>
    </w:p>
    <w:p w14:paraId="62C57FF7" w14:textId="77777777" w:rsidR="00157D05" w:rsidRDefault="00157D05">
      <w:r>
        <w:t>• A Signpost or Monument: In 1 Samuel 15:12, Saul set up a "monument" (literally, a yad or hand) for himself, picturing a hand pointing to his own achievements.</w:t>
      </w:r>
    </w:p>
    <w:p w14:paraId="03206D57" w14:textId="77777777" w:rsidR="00157D05" w:rsidRDefault="00157D05"/>
    <w:p w14:paraId="571DBC89" w14:textId="77777777" w:rsidR="00157D05" w:rsidRDefault="00157D05">
      <w:r>
        <w:t>In the Tabernacle, each of the twenty acacia frames on the north and south sides was equipped with two yadot. These "hands" ensured that the heavy, gold-plated boards did not shift, warp, or separate under the weight of the heavy linen and leather coverings.</w:t>
      </w:r>
    </w:p>
    <w:p w14:paraId="09D77F73" w14:textId="77777777" w:rsidR="00157D05" w:rsidRDefault="00157D05"/>
    <w:p w14:paraId="7CBF3500" w14:textId="77777777" w:rsidR="00157D05" w:rsidRPr="00157D05" w:rsidRDefault="00157D05">
      <w:pPr>
        <w:rPr>
          <w:b/>
        </w:rPr>
      </w:pPr>
      <w:r w:rsidRPr="00157D05">
        <w:rPr>
          <w:b/>
        </w:rPr>
        <w:t xml:space="preserve"> 4. Theological Implications</w:t>
      </w:r>
    </w:p>
    <w:p w14:paraId="055CAAA4" w14:textId="77777777" w:rsidR="00157D05" w:rsidRDefault="00157D05">
      <w:r>
        <w:t xml:space="preserve">The engineering of the Tabernacle was not merely functional; it was divinely ordered to reflect spiritual realities. </w:t>
      </w:r>
    </w:p>
    <w:p w14:paraId="63A45D28" w14:textId="77777777" w:rsidR="00157D05" w:rsidRDefault="00157D05">
      <w:r>
        <w:t>• Divinely Ordered Stability: God did not leave the construction of His dwelling place to human guesswork. Every joint and peg was designed to withstand the harsh desert environment. The "hands" gripping the silver foundations teach that the dwelling place of God must be built on secure, precise, and divinely appointed connections.</w:t>
      </w:r>
    </w:p>
    <w:p w14:paraId="1474739A" w14:textId="77777777" w:rsidR="00157D05" w:rsidRDefault="00157D05">
      <w:r>
        <w:t>• Redemption as the Foundation: The silver sockets into which these "hands" fit were cast from the atonement money (the half-shekel temple tax) collected from the Israelites (Exodus 30:11-16; 38:25-28). The acacia boards (representing humanity or the community of faith) stood secure because their "hands" were firmly anchored in silver, which symbolized redemption.</w:t>
      </w:r>
    </w:p>
    <w:p w14:paraId="410E0DAD" w14:textId="77777777" w:rsidR="00157D05" w:rsidRDefault="00157D05">
      <w:r>
        <w:t>• Unity of the Body: Just as the "hands" of the boards locked them together into a single, cohesive sanctuary, the New Testament describes the Church as a spiritual house where individual believers are "fitly framed together" (Ephesians 2:21) and "knit together" (Colossians 2:19).</w:t>
      </w:r>
    </w:p>
    <w:p w14:paraId="5FF4B819" w14:textId="77777777" w:rsidR="00157D05" w:rsidRDefault="00157D05"/>
    <w:p w14:paraId="36DFC490" w14:textId="77777777" w:rsidR="00157D05" w:rsidRPr="00157D05" w:rsidRDefault="00157D05">
      <w:pPr>
        <w:rPr>
          <w:b/>
        </w:rPr>
      </w:pPr>
      <w:r w:rsidRPr="00157D05">
        <w:rPr>
          <w:b/>
        </w:rPr>
        <w:t xml:space="preserve"> 5. Contextual Nuance in the Passage</w:t>
      </w:r>
    </w:p>
    <w:p w14:paraId="7E753C42" w14:textId="77777777" w:rsidR="00157D05" w:rsidRDefault="00157D05">
      <w:r>
        <w:t xml:space="preserve">In Exodus 36:22, Bezaleel and the divinely gifted artisans are executing the exact instructions given to Moses on Mount Sinai. The text specifies that the two tenons on each board were "spaced equally from one another." The Hebrew phrase for "spaced equally" (meshulabot) literally means "bound together" or "joined like the rungs of a ladder." </w:t>
      </w:r>
    </w:p>
    <w:p w14:paraId="750A55A4" w14:textId="77777777" w:rsidR="00157D05" w:rsidRDefault="00157D05"/>
    <w:p w14:paraId="08B762E5" w14:textId="77777777" w:rsidR="00157D05" w:rsidRDefault="00157D05">
      <w:r>
        <w:t>This indicates that the two tenons were not independent or randomly placed; they were parallel, interconnected, and perfectly aligned. This precision ensured that when the boards were lowered into the silver sockets, there was no twisting or misalignment. Every board stood perfectly upright, shoulder-to-shoulder, completely straight before God.</w:t>
      </w:r>
    </w:p>
    <w:p w14:paraId="4EA77D9D" w14:textId="77777777" w:rsidR="00157D05" w:rsidRDefault="00157D05"/>
    <w:p w14:paraId="086CB3B1" w14:textId="77777777" w:rsidR="00157D05" w:rsidRPr="00157D05" w:rsidRDefault="00157D05">
      <w:pPr>
        <w:rPr>
          <w:b/>
        </w:rPr>
      </w:pPr>
      <w:r w:rsidRPr="00157D05">
        <w:rPr>
          <w:b/>
        </w:rPr>
        <w:t xml:space="preserve"> 6. Key Uses in Other Verses (NKJV)</w:t>
      </w:r>
    </w:p>
    <w:p w14:paraId="3365FABA" w14:textId="77777777" w:rsidR="00157D05" w:rsidRDefault="00157D05">
      <w:r>
        <w:t>• Exodus 26:17: "Each board shall have two tenons spaced equally from one another; thus you shall make for all the boards of the tabernacle."</w:t>
      </w:r>
    </w:p>
    <w:p w14:paraId="137B3139" w14:textId="77777777" w:rsidR="00157D05" w:rsidRDefault="00157D05">
      <w:r>
        <w:t>• Exodus 36:22: "Each board had two tenons spaced equally from one another; thus he made for all the boards of the tabernacle."</w:t>
      </w:r>
    </w:p>
    <w:p w14:paraId="67DFF07E" w14:textId="77777777" w:rsidR="00157D05" w:rsidRDefault="00157D05">
      <w:r>
        <w:t>• Genesis 3:22: "...and now, lest he put out his hand and take also of the tree of life..."</w:t>
      </w:r>
    </w:p>
    <w:p w14:paraId="0C08F411" w14:textId="77777777" w:rsidR="00157D05" w:rsidRDefault="00157D05">
      <w:r>
        <w:t>• 1 Kings 10:19: "The throne had six steps, and the top of the throne was round at the back; there were armrests on either side of the place of the seat, and two lions stood beside the armrests."</w:t>
      </w:r>
    </w:p>
    <w:p w14:paraId="4DBF74A4" w14:textId="77777777" w:rsidR="00157D05" w:rsidRDefault="00157D05"/>
    <w:p w14:paraId="781B4D8C" w14:textId="77777777" w:rsidR="00157D05" w:rsidRPr="00157D05" w:rsidRDefault="00157D05">
      <w:pPr>
        <w:rPr>
          <w:b/>
        </w:rPr>
      </w:pPr>
      <w:r w:rsidRPr="00157D05">
        <w:rPr>
          <w:b/>
        </w:rPr>
        <w:t xml:space="preserve"> 7. Other Relevant Insights</w:t>
      </w:r>
    </w:p>
    <w:p w14:paraId="23E0850B" w14:textId="77777777" w:rsidR="00157D05" w:rsidRDefault="00157D05">
      <w:r>
        <w:t>In ancient carpentry, joining wood without metal nails was an art form. The use of mortise-and-tenon joints allowed the Tabernacle to be completely mobile. It could be disassembled, transported, and reassembled without damaging the gold-plated acacia wood. The "hands" of the boards could easily slide out of the silver sockets and be packed for travel, illustrating that God's presence and the stability of His covenant accompany His people wherever they journey.</w:t>
      </w:r>
    </w:p>
    <w:p w14:paraId="391E9477" w14:textId="77777777" w:rsidR="00157D05" w:rsidRDefault="00157D05"/>
    <w:p w14:paraId="5B97C9A8" w14:textId="77777777" w:rsidR="00157D05" w:rsidRPr="00157D05" w:rsidRDefault="00157D05">
      <w:pPr>
        <w:rPr>
          <w:b/>
        </w:rPr>
      </w:pPr>
      <w:r w:rsidRPr="00157D05">
        <w:rPr>
          <w:b/>
        </w:rPr>
        <w:t xml:space="preserve"> 8. References</w:t>
      </w:r>
    </w:p>
    <w:p w14:paraId="11794D63" w14:textId="77777777" w:rsidR="00157D05" w:rsidRDefault="00157D05">
      <w:r>
        <w:t>• Brown, Driver, Briggs Hebrew and English Lexicon</w:t>
      </w:r>
    </w:p>
    <w:p w14:paraId="4698D78C" w14:textId="77777777" w:rsidR="00157D05" w:rsidRDefault="00157D05">
      <w:r>
        <w:t>• Theological Wordbook of the Old Testament</w:t>
      </w:r>
    </w:p>
    <w:p w14:paraId="5405EC40" w14:textId="77777777" w:rsidR="00157D05" w:rsidRDefault="00157D05">
      <w:r>
        <w:t>• Gesenius' Hebrew and Chaldee Lexicon</w:t>
      </w:r>
    </w:p>
    <w:p w14:paraId="327541D0" w14:textId="77777777" w:rsidR="00157D05" w:rsidRDefault="00157D05">
      <w:r>
        <w:t>• Vine's Complete Expository Dictionary of Old and New Testament Words</w:t>
      </w:r>
    </w:p>
    <w:p w14:paraId="7AAE8A10" w14:textId="576AA0FB" w:rsidR="004C5552" w:rsidRDefault="00157D05">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05"/>
    <w:rsid w:val="00017747"/>
    <w:rsid w:val="00023A4A"/>
    <w:rsid w:val="0006763F"/>
    <w:rsid w:val="000C53AC"/>
    <w:rsid w:val="00146083"/>
    <w:rsid w:val="00157D0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42307"/>
  <w15:chartTrackingRefBased/>
  <w15:docId w15:val="{36A80DCE-CACB-436B-9A15-438F4370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7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7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05"/>
    <w:rPr>
      <w:rFonts w:eastAsiaTheme="majorEastAsia" w:cstheme="majorBidi"/>
      <w:color w:val="272727" w:themeColor="text1" w:themeTint="D8"/>
    </w:rPr>
  </w:style>
  <w:style w:type="paragraph" w:styleId="Title">
    <w:name w:val="Title"/>
    <w:basedOn w:val="Normal"/>
    <w:next w:val="Normal"/>
    <w:link w:val="TitleChar"/>
    <w:uiPriority w:val="10"/>
    <w:qFormat/>
    <w:rsid w:val="00157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05"/>
    <w:pPr>
      <w:spacing w:before="160"/>
      <w:jc w:val="center"/>
    </w:pPr>
    <w:rPr>
      <w:i/>
      <w:iCs/>
      <w:color w:val="404040" w:themeColor="text1" w:themeTint="BF"/>
    </w:rPr>
  </w:style>
  <w:style w:type="character" w:customStyle="1" w:styleId="QuoteChar">
    <w:name w:val="Quote Char"/>
    <w:basedOn w:val="DefaultParagraphFont"/>
    <w:link w:val="Quote"/>
    <w:uiPriority w:val="29"/>
    <w:rsid w:val="00157D05"/>
    <w:rPr>
      <w:i/>
      <w:iCs/>
      <w:color w:val="404040" w:themeColor="text1" w:themeTint="BF"/>
    </w:rPr>
  </w:style>
  <w:style w:type="paragraph" w:styleId="ListParagraph">
    <w:name w:val="List Paragraph"/>
    <w:basedOn w:val="Normal"/>
    <w:uiPriority w:val="34"/>
    <w:qFormat/>
    <w:rsid w:val="00157D05"/>
    <w:pPr>
      <w:ind w:left="720"/>
      <w:contextualSpacing/>
    </w:pPr>
  </w:style>
  <w:style w:type="character" w:styleId="IntenseEmphasis">
    <w:name w:val="Intense Emphasis"/>
    <w:basedOn w:val="DefaultParagraphFont"/>
    <w:uiPriority w:val="21"/>
    <w:qFormat/>
    <w:rsid w:val="00157D05"/>
    <w:rPr>
      <w:i/>
      <w:iCs/>
      <w:color w:val="2E74B5" w:themeColor="accent1" w:themeShade="BF"/>
    </w:rPr>
  </w:style>
  <w:style w:type="paragraph" w:styleId="IntenseQuote">
    <w:name w:val="Intense Quote"/>
    <w:basedOn w:val="Normal"/>
    <w:next w:val="Normal"/>
    <w:link w:val="IntenseQuoteChar"/>
    <w:uiPriority w:val="30"/>
    <w:qFormat/>
    <w:rsid w:val="00157D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7D05"/>
    <w:rPr>
      <w:i/>
      <w:iCs/>
      <w:color w:val="2E74B5" w:themeColor="accent1" w:themeShade="BF"/>
    </w:rPr>
  </w:style>
  <w:style w:type="character" w:styleId="IntenseReference">
    <w:name w:val="Intense Reference"/>
    <w:basedOn w:val="DefaultParagraphFont"/>
    <w:uiPriority w:val="32"/>
    <w:qFormat/>
    <w:rsid w:val="00157D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