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4E6BF" w14:textId="77777777" w:rsidR="00A81265" w:rsidRPr="00A81265" w:rsidRDefault="00A81265">
      <w:pPr>
        <w:rPr>
          <w:b/>
        </w:rPr>
      </w:pPr>
      <w:r w:rsidRPr="00A81265">
        <w:rPr>
          <w:b/>
        </w:rPr>
        <w:t>TOO MUCH - ( yatar , Strong's H3498 )</w:t>
      </w:r>
    </w:p>
    <w:p w14:paraId="69C45D85" w14:textId="77777777" w:rsidR="00A81265" w:rsidRDefault="00A81265">
      <w:r w:rsidRPr="00A81265">
        <w:rPr>
          <w:b/>
        </w:rPr>
        <w:t>Summary:</w:t>
      </w:r>
    </w:p>
    <w:p w14:paraId="6C325B1D" w14:textId="77777777" w:rsidR="00A81265" w:rsidRDefault="00A81265">
      <w:r>
        <w:t>In Exodus 36:7, the English phrase "too much" translates the Hebrew verb yatar (specifically the Hiphil infinitive absolute, hō</w:t>
      </w:r>
      <w:r>
        <w:rPr>
          <w:rFonts w:ascii="Calibri" w:hAnsi="Calibri" w:cs="Calibri"/>
        </w:rPr>
        <w:t>ṯ</w:t>
      </w:r>
      <w:r>
        <w:t>êr), which means "to leave over, have a surplus, or cause to abound." In this context, it describes the overwhelming generosity of the Israelites in contributing materials for the construction of the Tabernacle. Rather than falling short, the freewill offerings of the people exceeded what was necessary, resulting in an abundance that required Moses to restrain them from giving more. This word highlights the theological principle of God's abundant provision and the joyful, overflowing response of a community stirred by grace.</w:t>
      </w:r>
    </w:p>
    <w:p w14:paraId="04CC42A0" w14:textId="77777777" w:rsidR="00A81265" w:rsidRDefault="00A81265"/>
    <w:p w14:paraId="369243E3" w14:textId="77777777" w:rsidR="00A81265" w:rsidRDefault="00A81265">
      <w:r w:rsidRPr="00A81265">
        <w:rPr>
          <w:b/>
        </w:rPr>
        <w:t>Full Study:</w:t>
      </w:r>
    </w:p>
    <w:p w14:paraId="41582365" w14:textId="77777777" w:rsidR="00A81265" w:rsidRDefault="00A81265"/>
    <w:p w14:paraId="1A874585" w14:textId="77777777" w:rsidR="00A81265" w:rsidRPr="00A81265" w:rsidRDefault="00A81265">
      <w:pPr>
        <w:rPr>
          <w:b/>
        </w:rPr>
      </w:pPr>
      <w:r w:rsidRPr="00A81265">
        <w:rPr>
          <w:b/>
        </w:rPr>
        <w:t>1. Word Picture / Background</w:t>
      </w:r>
    </w:p>
    <w:p w14:paraId="28F42054" w14:textId="77777777" w:rsidR="00A81265" w:rsidRDefault="00A81265">
      <w:r>
        <w:t>The Hebrew root yatar carries the primary physical concept of jutting over, exceeding a boundary, or remaining as a surplus after needs have been met. It conjures the image of a vessel being filled to the brim and then spilling over, or a cord that is longer than necessary, leaving an extra length hanging. In the ancient Near East, where scarcity was a daily reality and materials for sacred projects were often extracted through heavy taxation or tribute, the idea of common people voluntarily bringing so much material that it resulted in an excess (yatar) is a striking cultural anomaly. It represents a physical manifestation of a spiritual reality: when hearts are moved by God, the result is not mere compliance, but overflowing abundance.</w:t>
      </w:r>
    </w:p>
    <w:p w14:paraId="78E4372A" w14:textId="77777777" w:rsidR="00A81265" w:rsidRDefault="00A81265"/>
    <w:p w14:paraId="3E607660" w14:textId="77777777" w:rsidR="00A81265" w:rsidRPr="00A81265" w:rsidRDefault="00A81265">
      <w:pPr>
        <w:rPr>
          <w:b/>
        </w:rPr>
      </w:pPr>
      <w:r w:rsidRPr="00A81265">
        <w:rPr>
          <w:b/>
        </w:rPr>
        <w:t>2. Meaning / Lexical Definition</w:t>
      </w:r>
    </w:p>
    <w:p w14:paraId="367A013B" w14:textId="77777777" w:rsidR="00A81265" w:rsidRDefault="00A81265">
      <w:r>
        <w:t>The verb yatar occurs over 100 times in the Old Testament, primarily in the Niphal (to be left over, remain) and Hiphil (to leave over, cause to abound, have a surplus) stems. In Exodus 36:7, the word appears in the Hiphil infinitive absolute (wə-hō</w:t>
      </w:r>
      <w:r>
        <w:rPr>
          <w:rFonts w:ascii="Calibri" w:hAnsi="Calibri" w:cs="Calibri"/>
        </w:rPr>
        <w:t>ṯ</w:t>
      </w:r>
      <w:r>
        <w:t>êr), functioning adverbially to modify the state of the building materials. While the basic noun day means "sufficiency" or "enough," the addition of yatar indicates that the materials did not merely meet the baseline requirement but surpassed it. The lexical definition in this specific grammatical form denotes an active, remaining surplus—literally, "and leaving over" or "making to overflow."</w:t>
      </w:r>
    </w:p>
    <w:p w14:paraId="402597DB" w14:textId="77777777" w:rsidR="00A81265" w:rsidRDefault="00A81265"/>
    <w:p w14:paraId="0692D109" w14:textId="77777777" w:rsidR="00A81265" w:rsidRPr="00A81265" w:rsidRDefault="00A81265">
      <w:pPr>
        <w:rPr>
          <w:b/>
        </w:rPr>
      </w:pPr>
      <w:r w:rsidRPr="00A81265">
        <w:rPr>
          <w:b/>
        </w:rPr>
        <w:t>3. Usage and Word Pictures</w:t>
      </w:r>
    </w:p>
    <w:p w14:paraId="328465B6" w14:textId="77777777" w:rsidR="00A81265" w:rsidRDefault="00A81265">
      <w:r>
        <w:t xml:space="preserve">Throughout the Old Testament, yatar is used to describe physical leftovers, survivors of a battle, or divine multiplication. </w:t>
      </w:r>
    </w:p>
    <w:p w14:paraId="2D42B016" w14:textId="77777777" w:rsidR="00A81265" w:rsidRDefault="00A81265">
      <w:r>
        <w:t>• In the context of the manna (Exodus 16:18, 20), any portion "left over" (yatar) contrary to God's command bred worms and stank, emphasizing dependency on daily grace.</w:t>
      </w:r>
    </w:p>
    <w:p w14:paraId="0220C284" w14:textId="77777777" w:rsidR="00A81265" w:rsidRDefault="00A81265">
      <w:r>
        <w:t>• In agricultural contexts, it refers to the surplus harvest left for the poor or stored for future use.</w:t>
      </w:r>
    </w:p>
    <w:p w14:paraId="1458C1A9" w14:textId="77777777" w:rsidR="00A81265" w:rsidRDefault="00A81265">
      <w:r>
        <w:t>• In miraculous provisions, such as Elisha multiplying the loaves (2 Kings 4:43), it denotes the physical leftovers that demonstrate God’s ability to satisfy beyond human calculation. The word picture is one of divine extravagance overmatching human limitation.</w:t>
      </w:r>
    </w:p>
    <w:p w14:paraId="1EB2754B" w14:textId="77777777" w:rsidR="00A81265" w:rsidRDefault="00A81265"/>
    <w:p w14:paraId="2A40C69B" w14:textId="77777777" w:rsidR="00A81265" w:rsidRPr="00A81265" w:rsidRDefault="00A81265">
      <w:pPr>
        <w:rPr>
          <w:b/>
        </w:rPr>
      </w:pPr>
      <w:r w:rsidRPr="00A81265">
        <w:rPr>
          <w:b/>
        </w:rPr>
        <w:t>4. Theological Implications</w:t>
      </w:r>
    </w:p>
    <w:p w14:paraId="057D6E2A" w14:textId="77777777" w:rsidR="00A81265" w:rsidRDefault="00A81265">
      <w:r>
        <w:t>The presence of yatar in the Tabernacle narrative carries profound theological weight. First, it reflects the character of God, who is not a deity of scarcity but of superabundance. Second, it demonstrates the transformative power of the Holy Spirit on the human heart. The same people who recently fashioned a golden calf out of their gold are now so transformed by the covenant renewal that they give until they have to be ordered to stop. Under grace, the heart moves from hoarding to overflowing. Finally, it prefigures the New Testament concept of grace "abounding" (perisseuo), where God's provision for His dwelling place—now the church—is always more than sufficient.</w:t>
      </w:r>
    </w:p>
    <w:p w14:paraId="3E6362BF" w14:textId="77777777" w:rsidR="00A81265" w:rsidRDefault="00A81265"/>
    <w:p w14:paraId="1862020F" w14:textId="77777777" w:rsidR="00A81265" w:rsidRPr="00A81265" w:rsidRDefault="00A81265">
      <w:pPr>
        <w:rPr>
          <w:b/>
        </w:rPr>
      </w:pPr>
      <w:r w:rsidRPr="00A81265">
        <w:rPr>
          <w:b/>
        </w:rPr>
        <w:t>5. Contextual Nuance in the Passage</w:t>
      </w:r>
    </w:p>
    <w:p w14:paraId="2D6F4E4B" w14:textId="77777777" w:rsidR="00A81265" w:rsidRDefault="00A81265">
      <w:r>
        <w:t>In Exodus 36:7, the text notes that the material was "sufficient for all the work... indeed, too much" (wə-hō</w:t>
      </w:r>
      <w:r>
        <w:rPr>
          <w:rFonts w:ascii="Calibri" w:hAnsi="Calibri" w:cs="Calibri"/>
        </w:rPr>
        <w:t>ṯ</w:t>
      </w:r>
      <w:r>
        <w:t>êr). The structural placement of this word at the very end of the sentence emphasizes the unexpected nature of the surplus. Moses had to issue a commandment to restrain the people from bringing more (Exodus 36:6). The word yatar here serves as a literary exclamation point. It contrasts sharply with Israel’s previous history of complaining about lack (of water, of meat, of bread) in the wilderness. Here, in the presence of the tabernacle project, the only "problem" is an excess of devotion and resources.</w:t>
      </w:r>
    </w:p>
    <w:p w14:paraId="0FDEA60F" w14:textId="77777777" w:rsidR="00A81265" w:rsidRDefault="00A81265"/>
    <w:p w14:paraId="569844E6" w14:textId="77777777" w:rsidR="00A81265" w:rsidRPr="00A81265" w:rsidRDefault="00A81265">
      <w:pPr>
        <w:rPr>
          <w:b/>
        </w:rPr>
      </w:pPr>
      <w:r w:rsidRPr="00A81265">
        <w:rPr>
          <w:b/>
        </w:rPr>
        <w:t>6. Key Uses in Other Verses (NKJV)</w:t>
      </w:r>
    </w:p>
    <w:p w14:paraId="3531A6E8" w14:textId="77777777" w:rsidR="00A81265" w:rsidRDefault="00A81265">
      <w:r>
        <w:t>• Exodus 16:18 - "So when they measured it by omers, he who gathered much had nothing left over, and he who gathered little had no lack."</w:t>
      </w:r>
    </w:p>
    <w:p w14:paraId="21F3DEC1" w14:textId="77777777" w:rsidR="00A81265" w:rsidRDefault="00A81265">
      <w:r>
        <w:t>• 2 Kings 4:43 - "But his servant said, 'What? Shall I set this before one hundred men?' He said again, 'Give it to the people, that they may eat; for thus says the LORD: "They shall eat and have some left over."'"</w:t>
      </w:r>
    </w:p>
    <w:p w14:paraId="4F191B1F" w14:textId="77777777" w:rsidR="00A81265" w:rsidRDefault="00A81265">
      <w:r>
        <w:t>• 2 Chronicles 31:10 - "And Azariah the chief priest, from the house of Zadok, answered him and said, 'Since the people began to bring the offerings into the house of the LORD, we have had enough to eat and have plenty left; for the LORD has blessed His people; and what is left is this great abundance.'"</w:t>
      </w:r>
    </w:p>
    <w:p w14:paraId="5474AFE3" w14:textId="77777777" w:rsidR="00A81265" w:rsidRDefault="00A81265">
      <w:r>
        <w:t>• Ruth 2:14 - "So she ate and was satisfied, and kept some back."</w:t>
      </w:r>
    </w:p>
    <w:p w14:paraId="79F9DFEE" w14:textId="77777777" w:rsidR="00A81265" w:rsidRDefault="00A81265"/>
    <w:p w14:paraId="543C6C01" w14:textId="77777777" w:rsidR="00A81265" w:rsidRPr="00A81265" w:rsidRDefault="00A81265">
      <w:pPr>
        <w:rPr>
          <w:b/>
        </w:rPr>
      </w:pPr>
      <w:r w:rsidRPr="00A81265">
        <w:rPr>
          <w:b/>
        </w:rPr>
        <w:t>7. Other Relevant Insights</w:t>
      </w:r>
    </w:p>
    <w:p w14:paraId="17C83E9F" w14:textId="77777777" w:rsidR="00A81265" w:rsidRDefault="00A81265">
      <w:r>
        <w:t>A grammatical nuance of the Hiphil infinitive absolute hō</w:t>
      </w:r>
      <w:r>
        <w:rPr>
          <w:rFonts w:ascii="Calibri" w:hAnsi="Calibri" w:cs="Calibri"/>
        </w:rPr>
        <w:t>ṯ</w:t>
      </w:r>
      <w:r>
        <w:t>êr is its emphatic and ongoing sense. It suggests that the giving did not just reach a peak and stop, but was actively continuing to pile up until intervention occurred. This highlights a rare moment in Israel's history where administrative restraint was required to curb generosity, a stark contrast to typical institutional appeals for funding. It serves as a timeless model for ministry: when the people of God are aligned with the vision of God, the resources of God will overflow.</w:t>
      </w:r>
    </w:p>
    <w:p w14:paraId="264FBB40" w14:textId="77777777" w:rsidR="00A81265" w:rsidRDefault="00A81265"/>
    <w:p w14:paraId="39A6D211" w14:textId="77777777" w:rsidR="00A81265" w:rsidRPr="00A81265" w:rsidRDefault="00A81265">
      <w:pPr>
        <w:rPr>
          <w:b/>
        </w:rPr>
      </w:pPr>
      <w:r w:rsidRPr="00A81265">
        <w:rPr>
          <w:b/>
        </w:rPr>
        <w:t>8. References</w:t>
      </w:r>
    </w:p>
    <w:p w14:paraId="02FF831E" w14:textId="77777777" w:rsidR="00A81265" w:rsidRDefault="00A81265">
      <w:r>
        <w:t>• Brown-Driver-Briggs Hebrew and English Lexicon</w:t>
      </w:r>
    </w:p>
    <w:p w14:paraId="383DE382" w14:textId="77777777" w:rsidR="00A81265" w:rsidRDefault="00A81265">
      <w:r>
        <w:t>• Theological Wordbook of the Old Testament</w:t>
      </w:r>
    </w:p>
    <w:p w14:paraId="77CB8328" w14:textId="77777777" w:rsidR="00A81265" w:rsidRDefault="00A81265">
      <w:r>
        <w:t>• Hebrew Aramaic Lexicon of the Old Testament</w:t>
      </w:r>
    </w:p>
    <w:p w14:paraId="4CABF168" w14:textId="77777777" w:rsidR="00A81265" w:rsidRDefault="00A81265">
      <w:r>
        <w:t>• New International Dictionary of Old Testament Theology and Exegesis</w:t>
      </w:r>
    </w:p>
    <w:p w14:paraId="664A7EA0" w14:textId="7B590CE0" w:rsidR="004C5552" w:rsidRDefault="00A81265">
      <w:r>
        <w:t>• Expositor's Bible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26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81265"/>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75B9A"/>
  <w15:chartTrackingRefBased/>
  <w15:docId w15:val="{AAB9E787-549C-475D-BDD1-14F05A30B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812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2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2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2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812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2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2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265"/>
    <w:rPr>
      <w:rFonts w:eastAsiaTheme="majorEastAsia" w:cstheme="majorBidi"/>
      <w:color w:val="272727" w:themeColor="text1" w:themeTint="D8"/>
    </w:rPr>
  </w:style>
  <w:style w:type="paragraph" w:styleId="Title">
    <w:name w:val="Title"/>
    <w:basedOn w:val="Normal"/>
    <w:next w:val="Normal"/>
    <w:link w:val="TitleChar"/>
    <w:uiPriority w:val="10"/>
    <w:qFormat/>
    <w:rsid w:val="00A812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2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2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2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265"/>
    <w:pPr>
      <w:spacing w:before="160"/>
      <w:jc w:val="center"/>
    </w:pPr>
    <w:rPr>
      <w:i/>
      <w:iCs/>
      <w:color w:val="404040" w:themeColor="text1" w:themeTint="BF"/>
    </w:rPr>
  </w:style>
  <w:style w:type="character" w:customStyle="1" w:styleId="QuoteChar">
    <w:name w:val="Quote Char"/>
    <w:basedOn w:val="DefaultParagraphFont"/>
    <w:link w:val="Quote"/>
    <w:uiPriority w:val="29"/>
    <w:rsid w:val="00A81265"/>
    <w:rPr>
      <w:i/>
      <w:iCs/>
      <w:color w:val="404040" w:themeColor="text1" w:themeTint="BF"/>
    </w:rPr>
  </w:style>
  <w:style w:type="paragraph" w:styleId="ListParagraph">
    <w:name w:val="List Paragraph"/>
    <w:basedOn w:val="Normal"/>
    <w:uiPriority w:val="34"/>
    <w:qFormat/>
    <w:rsid w:val="00A81265"/>
    <w:pPr>
      <w:ind w:left="720"/>
      <w:contextualSpacing/>
    </w:pPr>
  </w:style>
  <w:style w:type="character" w:styleId="IntenseEmphasis">
    <w:name w:val="Intense Emphasis"/>
    <w:basedOn w:val="DefaultParagraphFont"/>
    <w:uiPriority w:val="21"/>
    <w:qFormat/>
    <w:rsid w:val="00A81265"/>
    <w:rPr>
      <w:i/>
      <w:iCs/>
      <w:color w:val="2E74B5" w:themeColor="accent1" w:themeShade="BF"/>
    </w:rPr>
  </w:style>
  <w:style w:type="paragraph" w:styleId="IntenseQuote">
    <w:name w:val="Intense Quote"/>
    <w:basedOn w:val="Normal"/>
    <w:next w:val="Normal"/>
    <w:link w:val="IntenseQuoteChar"/>
    <w:uiPriority w:val="30"/>
    <w:qFormat/>
    <w:rsid w:val="00A8126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81265"/>
    <w:rPr>
      <w:i/>
      <w:iCs/>
      <w:color w:val="2E74B5" w:themeColor="accent1" w:themeShade="BF"/>
    </w:rPr>
  </w:style>
  <w:style w:type="character" w:styleId="IntenseReference">
    <w:name w:val="Intense Reference"/>
    <w:basedOn w:val="DefaultParagraphFont"/>
    <w:uiPriority w:val="32"/>
    <w:qFormat/>
    <w:rsid w:val="00A8126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868</Words>
  <Characters>4948</Characters>
  <Application>Microsoft Office Word</Application>
  <DocSecurity>0</DocSecurity>
  <Lines>41</Lines>
  <Paragraphs>11</Paragraphs>
  <ScaleCrop>false</ScaleCrop>
  <Company/>
  <LinksUpToDate>false</LinksUpToDate>
  <CharactersWithSpaces>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2026-08-14T11:22:00Z</dcterms:created>
  <dcterms:modified xsi:type="dcterms:W3CDTF">2026-08-14T11:22:00Z</dcterms:modified>
</cp:coreProperties>
</file>