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46E3" w14:textId="77777777" w:rsidR="00712045" w:rsidRPr="00712045" w:rsidRDefault="00712045">
      <w:pPr>
        <w:rPr>
          <w:b/>
        </w:rPr>
      </w:pPr>
      <w:r w:rsidRPr="00712045">
        <w:rPr>
          <w:b/>
        </w:rPr>
        <w:t>FRAME - ( misgeret , Strong's H4526 )</w:t>
      </w:r>
    </w:p>
    <w:p w14:paraId="55E554D7" w14:textId="77777777" w:rsidR="00712045" w:rsidRDefault="00712045">
      <w:r w:rsidRPr="00712045">
        <w:rPr>
          <w:b/>
        </w:rPr>
        <w:t>Summary:</w:t>
      </w:r>
    </w:p>
    <w:p w14:paraId="233D10E3" w14:textId="77777777" w:rsidR="00712045" w:rsidRDefault="00712045">
      <w:r>
        <w:t>The Hebrew noun misgeret refers to an enclosing border, rim, or frame. Derived from the verb sagar, meaning "to shut" or "to close up," it carries the core concept of securing or containing something. In the context of the tabernacle furniture, specifically the Table of Showbread in Exodus 37:12, it describes the protective wooden rim or border that went around the table's edge to keep the sacred bread from falling off. Culturally and historically, this frame served both a functional role of containment and a symbolic role of security, illustrating God's preservation and protection of His provision for His people.</w:t>
      </w:r>
    </w:p>
    <w:p w14:paraId="1CD81A69" w14:textId="77777777" w:rsidR="00712045" w:rsidRDefault="00712045"/>
    <w:p w14:paraId="470D3D30" w14:textId="77777777" w:rsidR="00712045" w:rsidRDefault="00712045">
      <w:r w:rsidRPr="00712045">
        <w:rPr>
          <w:b/>
        </w:rPr>
        <w:t>Full Study:</w:t>
      </w:r>
    </w:p>
    <w:p w14:paraId="7DBA1619" w14:textId="77777777" w:rsidR="00712045" w:rsidRDefault="00712045"/>
    <w:p w14:paraId="70FFDE55" w14:textId="77777777" w:rsidR="00712045" w:rsidRPr="00712045" w:rsidRDefault="00712045">
      <w:pPr>
        <w:rPr>
          <w:b/>
        </w:rPr>
      </w:pPr>
      <w:r w:rsidRPr="00712045">
        <w:rPr>
          <w:b/>
        </w:rPr>
        <w:t>1. Word Picture / Background</w:t>
      </w:r>
    </w:p>
    <w:p w14:paraId="18F5C736" w14:textId="77777777" w:rsidR="00712045" w:rsidRDefault="00712045">
      <w:r>
        <w:t>The noun misgeret is a derivative of the root verb sagar, which means "to close," "to shut up," or "to hand over." Literally, a misgeret is "something that shuts in" or "an enclosing barrier." In military contexts, the word describes a stronghold, fortress, or fastness—a place closed off and secured against invaders. When applied to craftsmanship and architecture, misgeret shifts from a defensive military enclosure to a physical border, rim, or frame that encloses, stabilizes, and protects. On the Table of Showbread, the frame was a wooden border of a handbreadth in width, overlaid with pure gold, which structurally held the table legs together and physically kept the sacred bread securely in place.</w:t>
      </w:r>
    </w:p>
    <w:p w14:paraId="0DB2C7BF" w14:textId="77777777" w:rsidR="00712045" w:rsidRDefault="00712045"/>
    <w:p w14:paraId="553DFB15" w14:textId="77777777" w:rsidR="00712045" w:rsidRPr="00712045" w:rsidRDefault="00712045">
      <w:pPr>
        <w:rPr>
          <w:b/>
        </w:rPr>
      </w:pPr>
      <w:r w:rsidRPr="00712045">
        <w:rPr>
          <w:b/>
        </w:rPr>
        <w:t>2. Meaning / Lexical Definition</w:t>
      </w:r>
    </w:p>
    <w:p w14:paraId="45C157C1" w14:textId="77777777" w:rsidR="00712045" w:rsidRDefault="00712045">
      <w:r>
        <w:t>The primary semantic range of misgeret includes:</w:t>
      </w:r>
    </w:p>
    <w:p w14:paraId="69CD6681" w14:textId="77777777" w:rsidR="00712045" w:rsidRDefault="00712045">
      <w:r>
        <w:t>• An enclosing border, rim, or margin on a table, basin, or architectural structure.</w:t>
      </w:r>
    </w:p>
    <w:p w14:paraId="120DDFB7" w14:textId="77777777" w:rsidR="00712045" w:rsidRDefault="00712045">
      <w:r>
        <w:t>• A panel, basement, or border-work on the decorative stands in the temple.</w:t>
      </w:r>
    </w:p>
    <w:p w14:paraId="38F721E7" w14:textId="77777777" w:rsidR="00712045" w:rsidRDefault="00712045">
      <w:r>
        <w:t>• A stronghold, fortress, or enclosed place of safety.</w:t>
      </w:r>
    </w:p>
    <w:p w14:paraId="02727816" w14:textId="77777777" w:rsidR="00712045" w:rsidRDefault="00712045">
      <w:r>
        <w:t>In the context of the Tabernacle priestly vessels, the word specifically denotes the gold-covered wooden frame or rim attached to the Table of Showbread.</w:t>
      </w:r>
    </w:p>
    <w:p w14:paraId="44FBD6E2" w14:textId="77777777" w:rsidR="00712045" w:rsidRDefault="00712045"/>
    <w:p w14:paraId="297A0254" w14:textId="77777777" w:rsidR="00712045" w:rsidRPr="00712045" w:rsidRDefault="00712045">
      <w:pPr>
        <w:rPr>
          <w:b/>
        </w:rPr>
      </w:pPr>
      <w:r w:rsidRPr="00712045">
        <w:rPr>
          <w:b/>
        </w:rPr>
        <w:t>3. Usage and Word Pictures</w:t>
      </w:r>
    </w:p>
    <w:p w14:paraId="5C65F4EB" w14:textId="77777777" w:rsidR="00712045" w:rsidRDefault="00712045">
      <w:r>
        <w:t>The term misgeret occurs 16 times in the Hebrew Bible. Its usage falls into three main categories:</w:t>
      </w:r>
    </w:p>
    <w:p w14:paraId="75654727" w14:textId="77777777" w:rsidR="00712045" w:rsidRDefault="00712045">
      <w:r>
        <w:t>• The Tabernacle Table Frame (Exodus 25, 37): Used exclusively to describe the handbreadth-wide rim built around the Table of Showbread. It provided structural integrity and kept the holy bread from sliding off during transport.</w:t>
      </w:r>
    </w:p>
    <w:p w14:paraId="6FC27A8E" w14:textId="77777777" w:rsidR="00712045" w:rsidRDefault="00712045">
      <w:r>
        <w:t>• The Temple Basin Stands (1 Kings 7, 2 Kings 16): Used extensively to describe the decorative panels or borders between the stay-frames of the bronze water carts made by Hiram of Tyre for Solomon's Temple. These panels were decorated with lions, oxen, and cherubim.</w:t>
      </w:r>
    </w:p>
    <w:p w14:paraId="25BD62E6" w14:textId="77777777" w:rsidR="00712045" w:rsidRDefault="00712045">
      <w:r>
        <w:t>• Poetic and Military Strongholds (2 Samuel 22:46; Psalm 18:45; Micah 7:17): Used metaphorically to depict the defensive enclosures of nations or individuals. When God's judgment comes, enemies shake with fear and crawl out of their "close places" or "strongholds." The transition from a literal, protective wooden border to a massive stone fortress demonstrates the word's inherent association with safety, boundaries, and containment.</w:t>
      </w:r>
    </w:p>
    <w:p w14:paraId="0F47D6EE" w14:textId="77777777" w:rsidR="00712045" w:rsidRDefault="00712045"/>
    <w:p w14:paraId="5F0374AE" w14:textId="77777777" w:rsidR="00712045" w:rsidRPr="00712045" w:rsidRDefault="00712045">
      <w:pPr>
        <w:rPr>
          <w:b/>
        </w:rPr>
      </w:pPr>
      <w:r w:rsidRPr="00712045">
        <w:rPr>
          <w:b/>
        </w:rPr>
        <w:t>4. Theological Implications</w:t>
      </w:r>
    </w:p>
    <w:p w14:paraId="642A8200" w14:textId="77777777" w:rsidR="00712045" w:rsidRDefault="00712045">
      <w:r>
        <w:t>The Table of Showbread represented God’s continuous provision, communion, and presence with the twelve tribes of Israel, represented by the twelve loaves. The misgeret (frame) surrounding the table serves several symbolic and theological purposes:</w:t>
      </w:r>
    </w:p>
    <w:p w14:paraId="3790AD12" w14:textId="77777777" w:rsidR="00712045" w:rsidRDefault="00712045">
      <w:r>
        <w:t>• Security and Preservation: The frame physically secured the showbread so that it would never fall to the ground, reflecting God's commitment to securely hold and preserve His covenant people. Just as the frame kept the bread safe, God keeps those who feast at His table.</w:t>
      </w:r>
    </w:p>
    <w:p w14:paraId="0AFD64DB" w14:textId="77777777" w:rsidR="00712045" w:rsidRDefault="00712045">
      <w:r>
        <w:t>• Sacred Boundaries: The border distinguished the holy surface of the table from the space around it. It underscores the biblical principle of holiness as separation—God's provisions are set apart, ordered, and protected by divine boundaries.</w:t>
      </w:r>
    </w:p>
    <w:p w14:paraId="6F38FE07" w14:textId="77777777" w:rsidR="00712045" w:rsidRDefault="00712045">
      <w:r>
        <w:t>• Strength and Structure: By uniting the legs of the table, the frame gave structural strength to the table. In the kingdom of God, divine order and structure are not restrictive but supportive, ensuring that what God establishes remains firm and immovable.</w:t>
      </w:r>
    </w:p>
    <w:p w14:paraId="6E2BDCE3" w14:textId="77777777" w:rsidR="00712045" w:rsidRDefault="00712045"/>
    <w:p w14:paraId="7A3EB26B" w14:textId="77777777" w:rsidR="00712045" w:rsidRPr="00712045" w:rsidRDefault="00712045">
      <w:pPr>
        <w:rPr>
          <w:b/>
        </w:rPr>
      </w:pPr>
      <w:r w:rsidRPr="00712045">
        <w:rPr>
          <w:b/>
        </w:rPr>
        <w:t>5. Contextual Nuance in the Passage</w:t>
      </w:r>
    </w:p>
    <w:p w14:paraId="0F28487D" w14:textId="77777777" w:rsidR="00712045" w:rsidRDefault="00712045">
      <w:r>
        <w:t>In Exodus 37:12, Bezalel is executing the precise instructions given by God on Mount Sinai. The verse highlights that the frame was "a handbreadth all around" and had "a molded molding of gold for its frame." A handbreadth (approximately three inches) represents a substantial, highly visible barrier. It was not a thin, fragile lip, but a robust border. The addition of a "molded molding of gold" around the frame highlights the supreme honor and beauty associated with the Table. This was not merely utilitarian joinery; it was a visible masterpiece of golden craftsmanship. The double mention of "frame" in this single verse underscores its prominence in the construction of the Table of Showbread.</w:t>
      </w:r>
    </w:p>
    <w:p w14:paraId="7E73B494" w14:textId="77777777" w:rsidR="00712045" w:rsidRDefault="00712045"/>
    <w:p w14:paraId="2F1BF796" w14:textId="77777777" w:rsidR="00712045" w:rsidRPr="00712045" w:rsidRDefault="00712045">
      <w:pPr>
        <w:rPr>
          <w:b/>
        </w:rPr>
      </w:pPr>
      <w:r w:rsidRPr="00712045">
        <w:rPr>
          <w:b/>
        </w:rPr>
        <w:t>6. Key Uses in Other Verses (NKJV)</w:t>
      </w:r>
    </w:p>
    <w:p w14:paraId="5B85AA4D" w14:textId="77777777" w:rsidR="00712045" w:rsidRDefault="00712045">
      <w:r>
        <w:t>• Exodus 25:25: "You shall make for it a frame of a handbreadth all around, and you shall make a gold molding for its frame all around."</w:t>
      </w:r>
    </w:p>
    <w:p w14:paraId="76A67AC2" w14:textId="77777777" w:rsidR="00712045" w:rsidRDefault="00712045">
      <w:r>
        <w:t>• 1 Kings 7:28: "And this was the design of the carts: They had panels, and the panels were between the frames."</w:t>
      </w:r>
    </w:p>
    <w:p w14:paraId="503C2970" w14:textId="77777777" w:rsidR="00712045" w:rsidRDefault="00712045">
      <w:r>
        <w:t>• 2 Samuel 22:46: "Foreigners fade away, and come frightened from their hideouts."</w:t>
      </w:r>
    </w:p>
    <w:p w14:paraId="4AA03120" w14:textId="77777777" w:rsidR="00712045" w:rsidRDefault="00712045">
      <w:r>
        <w:t>• Psalm 18:45: "The foreigners fade away, and come frightened from their hideouts."</w:t>
      </w:r>
    </w:p>
    <w:p w14:paraId="379E3397" w14:textId="77777777" w:rsidR="00712045" w:rsidRDefault="00712045">
      <w:r>
        <w:t>• Micah 7:17: "They shall lick the dust like a serpent; they shall crawl from their holes like snakes of the earth. They shall be afraid of the Lord our God, and shall fear because of You."</w:t>
      </w:r>
    </w:p>
    <w:p w14:paraId="3B8E832B" w14:textId="77777777" w:rsidR="00712045" w:rsidRDefault="00712045"/>
    <w:p w14:paraId="054BD5A1" w14:textId="77777777" w:rsidR="00712045" w:rsidRPr="00712045" w:rsidRDefault="00712045">
      <w:pPr>
        <w:rPr>
          <w:b/>
        </w:rPr>
      </w:pPr>
      <w:r w:rsidRPr="00712045">
        <w:rPr>
          <w:b/>
        </w:rPr>
        <w:t>7. Other Relevant Insights</w:t>
      </w:r>
    </w:p>
    <w:p w14:paraId="436032C4" w14:textId="77777777" w:rsidR="00712045" w:rsidRDefault="00712045">
      <w:r>
        <w:t>In ancient Near Eastern culture, tables of state and cultic tables of offerings frequently featured raised rims or borders. This prevented precious vessels, food offerings, or libations from spilling during ceremonies or when the tables were carried. Because the Tabernacle was a mobile sanctuary carried through the rugged wilderness, the misgeret was structurally essential. The rings for the poles used to carry the table were placed close to this very frame (Exodus 37:13-14), indicating that the frame served as the primary load-bearing anchor for transporting the entire table.</w:t>
      </w:r>
    </w:p>
    <w:p w14:paraId="7891400D" w14:textId="77777777" w:rsidR="00712045" w:rsidRDefault="00712045"/>
    <w:p w14:paraId="4CF829E1" w14:textId="77777777" w:rsidR="00712045" w:rsidRPr="00712045" w:rsidRDefault="00712045">
      <w:pPr>
        <w:rPr>
          <w:b/>
        </w:rPr>
      </w:pPr>
      <w:r w:rsidRPr="00712045">
        <w:rPr>
          <w:b/>
        </w:rPr>
        <w:t>8. References</w:t>
      </w:r>
    </w:p>
    <w:p w14:paraId="1E88F645" w14:textId="77777777" w:rsidR="00712045" w:rsidRDefault="00712045">
      <w:r>
        <w:t>• Brown, F., Driver, S. R., &amp; Briggs, C. A. (1907). Enhanced Brown-Driver-Briggs Hebrew and English Lexicon.</w:t>
      </w:r>
    </w:p>
    <w:p w14:paraId="4FA422AE" w14:textId="77777777" w:rsidR="00712045" w:rsidRDefault="00712045">
      <w:r>
        <w:t>• Koehler, L., Baumgartner, W., &amp; Stamm, J. J. (2001). The Hebrew and Aramaic Lexicon of the Old Testament.</w:t>
      </w:r>
    </w:p>
    <w:p w14:paraId="50FDD60C" w14:textId="77777777" w:rsidR="00712045" w:rsidRDefault="00712045">
      <w:r>
        <w:t>• Harris, R. L., Archer, G. L., &amp; Waltke, B. K. (1980). Theological Wordbook of the Old Testament.</w:t>
      </w:r>
    </w:p>
    <w:p w14:paraId="0705EDEA" w14:textId="77777777" w:rsidR="00712045" w:rsidRDefault="00712045">
      <w:r>
        <w:t>• VanGemeren, W. A. (Ed.). (1997). New International Dictionary of Old Testament Theology and Exegesis.</w:t>
      </w:r>
    </w:p>
    <w:p w14:paraId="2031D7FF" w14:textId="0984EEA5" w:rsidR="004C5552" w:rsidRDefault="00712045">
      <w:r>
        <w:t>• Gesenius, W., &amp; Tregelles, S. P. (1846).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2045"/>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9D93"/>
  <w15:chartTrackingRefBased/>
  <w15:docId w15:val="{F92316E2-2219-4491-B678-FEA1C3AF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2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045"/>
    <w:rPr>
      <w:rFonts w:eastAsiaTheme="majorEastAsia" w:cstheme="majorBidi"/>
      <w:color w:val="272727" w:themeColor="text1" w:themeTint="D8"/>
    </w:rPr>
  </w:style>
  <w:style w:type="paragraph" w:styleId="Title">
    <w:name w:val="Title"/>
    <w:basedOn w:val="Normal"/>
    <w:next w:val="Normal"/>
    <w:link w:val="TitleChar"/>
    <w:uiPriority w:val="10"/>
    <w:qFormat/>
    <w:rsid w:val="00712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045"/>
    <w:pPr>
      <w:spacing w:before="160"/>
      <w:jc w:val="center"/>
    </w:pPr>
    <w:rPr>
      <w:i/>
      <w:iCs/>
      <w:color w:val="404040" w:themeColor="text1" w:themeTint="BF"/>
    </w:rPr>
  </w:style>
  <w:style w:type="character" w:customStyle="1" w:styleId="QuoteChar">
    <w:name w:val="Quote Char"/>
    <w:basedOn w:val="DefaultParagraphFont"/>
    <w:link w:val="Quote"/>
    <w:uiPriority w:val="29"/>
    <w:rsid w:val="00712045"/>
    <w:rPr>
      <w:i/>
      <w:iCs/>
      <w:color w:val="404040" w:themeColor="text1" w:themeTint="BF"/>
    </w:rPr>
  </w:style>
  <w:style w:type="paragraph" w:styleId="ListParagraph">
    <w:name w:val="List Paragraph"/>
    <w:basedOn w:val="Normal"/>
    <w:uiPriority w:val="34"/>
    <w:qFormat/>
    <w:rsid w:val="00712045"/>
    <w:pPr>
      <w:ind w:left="720"/>
      <w:contextualSpacing/>
    </w:pPr>
  </w:style>
  <w:style w:type="character" w:styleId="IntenseEmphasis">
    <w:name w:val="Intense Emphasis"/>
    <w:basedOn w:val="DefaultParagraphFont"/>
    <w:uiPriority w:val="21"/>
    <w:qFormat/>
    <w:rsid w:val="00712045"/>
    <w:rPr>
      <w:i/>
      <w:iCs/>
      <w:color w:val="2E74B5" w:themeColor="accent1" w:themeShade="BF"/>
    </w:rPr>
  </w:style>
  <w:style w:type="paragraph" w:styleId="IntenseQuote">
    <w:name w:val="Intense Quote"/>
    <w:basedOn w:val="Normal"/>
    <w:next w:val="Normal"/>
    <w:link w:val="IntenseQuoteChar"/>
    <w:uiPriority w:val="30"/>
    <w:qFormat/>
    <w:rsid w:val="007120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2045"/>
    <w:rPr>
      <w:i/>
      <w:iCs/>
      <w:color w:val="2E74B5" w:themeColor="accent1" w:themeShade="BF"/>
    </w:rPr>
  </w:style>
  <w:style w:type="character" w:styleId="IntenseReference">
    <w:name w:val="Intense Reference"/>
    <w:basedOn w:val="DefaultParagraphFont"/>
    <w:uiPriority w:val="32"/>
    <w:qFormat/>
    <w:rsid w:val="007120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5552</Characters>
  <Application>Microsoft Office Word</Application>
  <DocSecurity>0</DocSecurity>
  <Lines>46</Lines>
  <Paragraphs>13</Paragraphs>
  <ScaleCrop>false</ScaleCrop>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