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5060" w14:textId="77777777" w:rsidR="00AF60B5" w:rsidRPr="00AF60B5" w:rsidRDefault="00AF60B5">
      <w:pPr>
        <w:rPr>
          <w:b/>
        </w:rPr>
      </w:pPr>
      <w:r w:rsidRPr="00AF60B5">
        <w:rPr>
          <w:b/>
        </w:rPr>
        <w:t>BOWLS - ( menaqqiyyah , Strong's H4518 )</w:t>
      </w:r>
    </w:p>
    <w:p w14:paraId="255AC03C" w14:textId="77777777" w:rsidR="00AF60B5" w:rsidRDefault="00AF60B5">
      <w:r w:rsidRPr="00AF60B5">
        <w:rPr>
          <w:b/>
        </w:rPr>
        <w:t>Summary:</w:t>
      </w:r>
    </w:p>
    <w:p w14:paraId="4EF706C2" w14:textId="77777777" w:rsidR="00AF60B5" w:rsidRDefault="00AF60B5">
      <w:r>
        <w:t>The Hebrew word menaqqiyyah refers to the pure gold bowls or jars used on the Table of Showbread, specifically designed to hold wine for the drink offerings (libations) poured out before the Lord. Derived from a root meaning "to empty" or "to be clean," these vessels visually and functionally represent a life poured out in complete, unreserved devotion to God.</w:t>
      </w:r>
    </w:p>
    <w:p w14:paraId="0B10EEDC" w14:textId="77777777" w:rsidR="00AF60B5" w:rsidRDefault="00AF60B5"/>
    <w:p w14:paraId="0699FAC3" w14:textId="77777777" w:rsidR="00AF60B5" w:rsidRDefault="00AF60B5">
      <w:r w:rsidRPr="00AF60B5">
        <w:rPr>
          <w:b/>
        </w:rPr>
        <w:t>Full Study:</w:t>
      </w:r>
    </w:p>
    <w:p w14:paraId="1465C004" w14:textId="77777777" w:rsidR="00AF60B5" w:rsidRDefault="00AF60B5"/>
    <w:p w14:paraId="4B58537A" w14:textId="77777777" w:rsidR="00AF60B5" w:rsidRPr="00AF60B5" w:rsidRDefault="00AF60B5">
      <w:pPr>
        <w:rPr>
          <w:b/>
        </w:rPr>
      </w:pPr>
      <w:r w:rsidRPr="00AF60B5">
        <w:rPr>
          <w:b/>
        </w:rPr>
        <w:t>1. Word Picture / Background</w:t>
      </w:r>
    </w:p>
    <w:p w14:paraId="7D401DF8" w14:textId="77777777" w:rsidR="00AF60B5" w:rsidRDefault="00AF60B5">
      <w:r>
        <w:t>The noun menaqqiyyah comes from the verbal root naqah, which carries the primary meaning of "to be empty," "to be clean," "to be free," or "to be innocent." In its causal form, the verb means "to empty out" or "to clear away." The historical word picture behind this vessel is one of complete emptying. It is not merely a container to hold liquid, but a vessel designed to be turned upside down and poured out until nothing remains. This connection highlights the spiritual reality that true worship involves emptying oneself before God.</w:t>
      </w:r>
    </w:p>
    <w:p w14:paraId="3DFCBFFA" w14:textId="77777777" w:rsidR="00AF60B5" w:rsidRDefault="00AF60B5"/>
    <w:p w14:paraId="1C29059E" w14:textId="77777777" w:rsidR="00AF60B5" w:rsidRPr="00AF60B5" w:rsidRDefault="00AF60B5">
      <w:pPr>
        <w:rPr>
          <w:b/>
        </w:rPr>
      </w:pPr>
      <w:r w:rsidRPr="00AF60B5">
        <w:rPr>
          <w:b/>
        </w:rPr>
        <w:t>2. Meaning / Lexical Definition</w:t>
      </w:r>
    </w:p>
    <w:p w14:paraId="1A432D1A" w14:textId="77777777" w:rsidR="00AF60B5" w:rsidRDefault="00AF60B5">
      <w:r>
        <w:t>A menaqqiyyah is a sacrificial bowl, jug, or jar used specifically for the libation or drink offering of wine. Crafted from pure gold, these vessels were placed on the Table of Showbread in the Tabernacle's Holy Place. The word designates a specialized liturgical vessel rather than a common domestic bowl.</w:t>
      </w:r>
    </w:p>
    <w:p w14:paraId="30B0688E" w14:textId="77777777" w:rsidR="00AF60B5" w:rsidRDefault="00AF60B5"/>
    <w:p w14:paraId="162A426A" w14:textId="77777777" w:rsidR="00AF60B5" w:rsidRPr="00AF60B5" w:rsidRDefault="00AF60B5">
      <w:pPr>
        <w:rPr>
          <w:b/>
        </w:rPr>
      </w:pPr>
      <w:r w:rsidRPr="00AF60B5">
        <w:rPr>
          <w:b/>
        </w:rPr>
        <w:t>3. Usage and Word Pictures</w:t>
      </w:r>
    </w:p>
    <w:p w14:paraId="654FE8E7" w14:textId="77777777" w:rsidR="00AF60B5" w:rsidRDefault="00AF60B5">
      <w:r>
        <w:t>In the Old Testament, the word appears exclusively in the plural form (menaqqiyyot). It is always associated with the sanctuary—first in the wilderness Tabernacle and later in the Solomonic Temple. The use of this word pictures the deliberate, orderly, and beautiful nature of God's prescribed worship. The bowls were filled with wine, representing the joy of the covenant relationship, and then poured out onto the altar or at its base. This act of pouring out symbolized the worshipers' recognition that all they possessed belonged to God, and they were joyfully returning it to Him.</w:t>
      </w:r>
    </w:p>
    <w:p w14:paraId="2C086544" w14:textId="77777777" w:rsidR="00AF60B5" w:rsidRDefault="00AF60B5"/>
    <w:p w14:paraId="7D3E9F83" w14:textId="77777777" w:rsidR="00AF60B5" w:rsidRPr="00AF60B5" w:rsidRDefault="00AF60B5">
      <w:pPr>
        <w:rPr>
          <w:b/>
        </w:rPr>
      </w:pPr>
      <w:r w:rsidRPr="00AF60B5">
        <w:rPr>
          <w:b/>
        </w:rPr>
        <w:t>4. Theological Implications</w:t>
      </w:r>
    </w:p>
    <w:p w14:paraId="23F2EA88" w14:textId="77777777" w:rsidR="00AF60B5" w:rsidRDefault="00AF60B5">
      <w:r>
        <w:t>The theological weight of the menaqqiyyah is tied directly to the concept of the drink offering (nesek).</w:t>
      </w:r>
    </w:p>
    <w:p w14:paraId="08868CAB" w14:textId="77777777" w:rsidR="00AF60B5" w:rsidRDefault="00AF60B5">
      <w:r>
        <w:t>• Christ's Complete Sacrifice: The drink offering poured from these gold bowls prefigures Jesus Christ, who "poured out His soul unto death" (Isaiah 53:12) to secure our redemption.</w:t>
      </w:r>
    </w:p>
    <w:p w14:paraId="2B8F49AC" w14:textId="77777777" w:rsidR="00AF60B5" w:rsidRDefault="00AF60B5">
      <w:r>
        <w:t>• The Believer's Devotion: It serves as a physical type of the Apostle Paul’s pastoral heart, as he twice described his life and ministry as being "poured out as a drink offering" (Philippians 2:17; 2 Timothy 4:6).</w:t>
      </w:r>
    </w:p>
    <w:p w14:paraId="66FAB842" w14:textId="77777777" w:rsidR="00AF60B5" w:rsidRDefault="00AF60B5">
      <w:r>
        <w:t>• Purity and Holiness: Being made of pure gold, these bowls remind us that the vessels used for God's service must be holy, set apart, and refined. The root naqah also translates to "innocent" or "acquitted," linking the physical cleansing of the vessel to the spiritual cleansing of the worshiper.</w:t>
      </w:r>
    </w:p>
    <w:p w14:paraId="116E2ABC" w14:textId="77777777" w:rsidR="00AF60B5" w:rsidRDefault="00AF60B5"/>
    <w:p w14:paraId="51C8F720" w14:textId="77777777" w:rsidR="00AF60B5" w:rsidRPr="00AF60B5" w:rsidRDefault="00AF60B5">
      <w:pPr>
        <w:rPr>
          <w:b/>
        </w:rPr>
      </w:pPr>
      <w:r w:rsidRPr="00AF60B5">
        <w:rPr>
          <w:b/>
        </w:rPr>
        <w:t>5. Contextual Nuance in the Passage</w:t>
      </w:r>
    </w:p>
    <w:p w14:paraId="0A68DC6F" w14:textId="77777777" w:rsidR="00AF60B5" w:rsidRDefault="00AF60B5">
      <w:r>
        <w:t>In Exodus 37:16, Bezalel is constructing the furnishings for the Holy Place, specifically the Table of Showbread. The table represents God’s desire for fellowship and communion with His people, depicted as a shared meal. The presence of the menaqqiyyot (bowls) alongside the bread demonstrates that the divine table was fully set. In ancient Near Eastern culture, a covenant meal was incomplete without both bread and wine. By providing these gold bowls for the drink offerings, God ensured that the symbols of sustained life (bread) and ultimate joy (wine) were constantly present before Him on behalf of the twelve tribes of Israel.</w:t>
      </w:r>
    </w:p>
    <w:p w14:paraId="0CBEA9CA" w14:textId="77777777" w:rsidR="00AF60B5" w:rsidRDefault="00AF60B5"/>
    <w:p w14:paraId="398CAA81" w14:textId="77777777" w:rsidR="00AF60B5" w:rsidRPr="00AF60B5" w:rsidRDefault="00AF60B5">
      <w:pPr>
        <w:rPr>
          <w:b/>
        </w:rPr>
      </w:pPr>
      <w:r w:rsidRPr="00AF60B5">
        <w:rPr>
          <w:b/>
        </w:rPr>
        <w:t>6. Key Uses in Other Verses (NKJV)</w:t>
      </w:r>
    </w:p>
    <w:p w14:paraId="776D3FB1" w14:textId="77777777" w:rsidR="00AF60B5" w:rsidRDefault="00AF60B5">
      <w:r>
        <w:t>• Exodus 25:29 - "You shall make its dishes, its cups, its bowls, and its pitchers for pouring drink offerings; you shall make them of pure gold."</w:t>
      </w:r>
    </w:p>
    <w:p w14:paraId="446FA29D" w14:textId="77777777" w:rsidR="00AF60B5" w:rsidRDefault="00AF60B5">
      <w:r>
        <w:t>• Numbers 4:7 - "On the table of showbread they shall spread a blue cloth, and put on it the dishes, the cups, the bowls, and the pitchers for pouring; and the showbread shall remain on it."</w:t>
      </w:r>
    </w:p>
    <w:p w14:paraId="4118647A" w14:textId="77777777" w:rsidR="00AF60B5" w:rsidRDefault="00AF60B5">
      <w:r>
        <w:t>• Jeremiah 52:19 - "The basins, the firepans, the bowls, the pots, the lampstands, the spoons, and the cups, whatever was of solid gold and whatever was of solid silver, the captain of the guard took away."</w:t>
      </w:r>
    </w:p>
    <w:p w14:paraId="4BFBF080" w14:textId="77777777" w:rsidR="00AF60B5" w:rsidRDefault="00AF60B5"/>
    <w:p w14:paraId="7105E69A" w14:textId="77777777" w:rsidR="00AF60B5" w:rsidRPr="00AF60B5" w:rsidRDefault="00AF60B5">
      <w:pPr>
        <w:rPr>
          <w:b/>
        </w:rPr>
      </w:pPr>
      <w:r w:rsidRPr="00AF60B5">
        <w:rPr>
          <w:b/>
        </w:rPr>
        <w:t>7. Other Relevant Insights</w:t>
      </w:r>
    </w:p>
    <w:p w14:paraId="0D48A0C3" w14:textId="77777777" w:rsidR="00AF60B5" w:rsidRDefault="00AF60B5">
      <w:r>
        <w:t>The menaqqiyyah must be distinguished from other types of biblical bowls:</w:t>
      </w:r>
    </w:p>
    <w:p w14:paraId="1DE62396" w14:textId="77777777" w:rsidR="00AF60B5" w:rsidRDefault="00AF60B5">
      <w:r>
        <w:t>• The mizraq (sacrificial basin) was used in the outer court to catch and sprinkle sacrificial blood.</w:t>
      </w:r>
    </w:p>
    <w:p w14:paraId="2F29E484" w14:textId="77777777" w:rsidR="00AF60B5" w:rsidRDefault="00AF60B5">
      <w:r>
        <w:t>• The saph was a domestic basin or threshold bowl.</w:t>
      </w:r>
    </w:p>
    <w:p w14:paraId="3AECAB54" w14:textId="77777777" w:rsidR="00AF60B5" w:rsidRDefault="00AF60B5">
      <w:r>
        <w:t>• The menaqqiyyah was reserved exclusively for the Holy Place. It did not touch blood; it held only the clean, sweet wine of the libation. This distinction emphasizes that while some areas of our spiritual lives deal with the gravity of cleansing from sin (blood), other aspects are reserved for pure praise, joy, and deep fellowship in the presence of God (wine).</w:t>
      </w:r>
    </w:p>
    <w:p w14:paraId="4EE69243" w14:textId="77777777" w:rsidR="00AF60B5" w:rsidRDefault="00AF60B5"/>
    <w:p w14:paraId="73F52209" w14:textId="77777777" w:rsidR="00AF60B5" w:rsidRPr="00AF60B5" w:rsidRDefault="00AF60B5">
      <w:pPr>
        <w:rPr>
          <w:b/>
        </w:rPr>
      </w:pPr>
      <w:r w:rsidRPr="00AF60B5">
        <w:rPr>
          <w:b/>
        </w:rPr>
        <w:t>8. References</w:t>
      </w:r>
    </w:p>
    <w:p w14:paraId="70A7A289" w14:textId="77777777" w:rsidR="00AF60B5" w:rsidRDefault="00AF60B5">
      <w:r>
        <w:t>• Brown, Driver, and Briggs Hebrew and English Lexicon</w:t>
      </w:r>
    </w:p>
    <w:p w14:paraId="005B308E" w14:textId="77777777" w:rsidR="00AF60B5" w:rsidRDefault="00AF60B5">
      <w:r>
        <w:t>• Hebrew and Aramaic Lexicon of the Old Testament</w:t>
      </w:r>
    </w:p>
    <w:p w14:paraId="6D4D23FD" w14:textId="77777777" w:rsidR="00AF60B5" w:rsidRDefault="00AF60B5">
      <w:r>
        <w:t>• Theological Wordbook of the Old Testament</w:t>
      </w:r>
    </w:p>
    <w:p w14:paraId="4EEE1FBF" w14:textId="6CB68713" w:rsidR="004C5552" w:rsidRDefault="00AF60B5">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0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AF60B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1C5D"/>
  <w15:chartTrackingRefBased/>
  <w15:docId w15:val="{A740B68B-3EC9-4CB3-8E19-D22FB7E68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6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6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0B5"/>
    <w:rPr>
      <w:rFonts w:eastAsiaTheme="majorEastAsia" w:cstheme="majorBidi"/>
      <w:color w:val="272727" w:themeColor="text1" w:themeTint="D8"/>
    </w:rPr>
  </w:style>
  <w:style w:type="paragraph" w:styleId="Title">
    <w:name w:val="Title"/>
    <w:basedOn w:val="Normal"/>
    <w:next w:val="Normal"/>
    <w:link w:val="TitleChar"/>
    <w:uiPriority w:val="10"/>
    <w:qFormat/>
    <w:rsid w:val="00AF6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0B5"/>
    <w:pPr>
      <w:spacing w:before="160"/>
      <w:jc w:val="center"/>
    </w:pPr>
    <w:rPr>
      <w:i/>
      <w:iCs/>
      <w:color w:val="404040" w:themeColor="text1" w:themeTint="BF"/>
    </w:rPr>
  </w:style>
  <w:style w:type="character" w:customStyle="1" w:styleId="QuoteChar">
    <w:name w:val="Quote Char"/>
    <w:basedOn w:val="DefaultParagraphFont"/>
    <w:link w:val="Quote"/>
    <w:uiPriority w:val="29"/>
    <w:rsid w:val="00AF60B5"/>
    <w:rPr>
      <w:i/>
      <w:iCs/>
      <w:color w:val="404040" w:themeColor="text1" w:themeTint="BF"/>
    </w:rPr>
  </w:style>
  <w:style w:type="paragraph" w:styleId="ListParagraph">
    <w:name w:val="List Paragraph"/>
    <w:basedOn w:val="Normal"/>
    <w:uiPriority w:val="34"/>
    <w:qFormat/>
    <w:rsid w:val="00AF60B5"/>
    <w:pPr>
      <w:ind w:left="720"/>
      <w:contextualSpacing/>
    </w:pPr>
  </w:style>
  <w:style w:type="character" w:styleId="IntenseEmphasis">
    <w:name w:val="Intense Emphasis"/>
    <w:basedOn w:val="DefaultParagraphFont"/>
    <w:uiPriority w:val="21"/>
    <w:qFormat/>
    <w:rsid w:val="00AF60B5"/>
    <w:rPr>
      <w:i/>
      <w:iCs/>
      <w:color w:val="2E74B5" w:themeColor="accent1" w:themeShade="BF"/>
    </w:rPr>
  </w:style>
  <w:style w:type="paragraph" w:styleId="IntenseQuote">
    <w:name w:val="Intense Quote"/>
    <w:basedOn w:val="Normal"/>
    <w:next w:val="Normal"/>
    <w:link w:val="IntenseQuoteChar"/>
    <w:uiPriority w:val="30"/>
    <w:qFormat/>
    <w:rsid w:val="00AF60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60B5"/>
    <w:rPr>
      <w:i/>
      <w:iCs/>
      <w:color w:val="2E74B5" w:themeColor="accent1" w:themeShade="BF"/>
    </w:rPr>
  </w:style>
  <w:style w:type="character" w:styleId="IntenseReference">
    <w:name w:val="Intense Reference"/>
    <w:basedOn w:val="DefaultParagraphFont"/>
    <w:uiPriority w:val="32"/>
    <w:qFormat/>
    <w:rsid w:val="00AF60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