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0A51F" w14:textId="77777777" w:rsidR="005B5610" w:rsidRPr="005B5610" w:rsidRDefault="005B5610">
      <w:pPr>
        <w:rPr>
          <w:b/>
        </w:rPr>
      </w:pPr>
      <w:r w:rsidRPr="005B5610">
        <w:rPr>
          <w:b/>
        </w:rPr>
        <w:t>PITCHERS - ( qesavah , Strong's H7184 )</w:t>
      </w:r>
    </w:p>
    <w:p w14:paraId="37A6F822" w14:textId="77777777" w:rsidR="005B5610" w:rsidRDefault="005B5610">
      <w:r w:rsidRPr="005B5610">
        <w:rPr>
          <w:b/>
        </w:rPr>
        <w:t>Summary:</w:t>
      </w:r>
    </w:p>
    <w:p w14:paraId="719CC788" w14:textId="77777777" w:rsidR="005B5610" w:rsidRDefault="005B5610">
      <w:r>
        <w:t>In Exodus 37:16, the Hebrew word qesavah (plural qesavot) refers to the sacred jugs or pitchers fashioned out of pure gold for the Table of Showbread in the Tabernacle. These holy vessels were designed specifically for pouring out liquid drink offerings, or libations, of wine before Yahweh. Their presence on the Table of Showbread alongside the bread of the presence signifies the completeness of the covenant fellowship meal between God and His people, demonstrating that every aspect of worship must be executed with the highest level of devotion, purity, and obedience to divine instruction.</w:t>
      </w:r>
    </w:p>
    <w:p w14:paraId="54D363D5" w14:textId="77777777" w:rsidR="005B5610" w:rsidRDefault="005B5610"/>
    <w:p w14:paraId="27169CF9" w14:textId="77777777" w:rsidR="005B5610" w:rsidRDefault="005B5610">
      <w:r w:rsidRPr="005B5610">
        <w:rPr>
          <w:b/>
        </w:rPr>
        <w:t>Full Study:</w:t>
      </w:r>
    </w:p>
    <w:p w14:paraId="3351E09A" w14:textId="77777777" w:rsidR="005B5610" w:rsidRDefault="005B5610"/>
    <w:p w14:paraId="2A5C8634" w14:textId="77777777" w:rsidR="005B5610" w:rsidRPr="005B5610" w:rsidRDefault="005B5610">
      <w:pPr>
        <w:rPr>
          <w:b/>
        </w:rPr>
      </w:pPr>
      <w:r w:rsidRPr="005B5610">
        <w:rPr>
          <w:b/>
        </w:rPr>
        <w:t>1. Word Picture / Background</w:t>
      </w:r>
    </w:p>
    <w:p w14:paraId="2DFD350C" w14:textId="77777777" w:rsidR="005B5610" w:rsidRDefault="005B5610">
      <w:r>
        <w:t>The word qesavah derives from a root meaning to be deep, rounded, or curved, suggesting a vessel with a hollowed-out shape designed to hold liquids. In the ancient Near East, libation vessels or pitchers were essential components of temple service, typically fashioned with narrow necks and handles to facilitate the controlled pouring of wine or other liquids during religious rituals. In the context of the Tabernacle, these pitchers were not ordinary household utensils but sacred items made entirely of beaten, pure gold, signifying their holy purpose and the royal majesty of the King they served.</w:t>
      </w:r>
    </w:p>
    <w:p w14:paraId="2FEC8461" w14:textId="77777777" w:rsidR="005B5610" w:rsidRDefault="005B5610"/>
    <w:p w14:paraId="3A4D6072" w14:textId="77777777" w:rsidR="005B5610" w:rsidRPr="005B5610" w:rsidRDefault="005B5610">
      <w:pPr>
        <w:rPr>
          <w:b/>
        </w:rPr>
      </w:pPr>
      <w:r w:rsidRPr="005B5610">
        <w:rPr>
          <w:b/>
        </w:rPr>
        <w:t>2. Meaning / Lexical Definition</w:t>
      </w:r>
    </w:p>
    <w:p w14:paraId="56DDE236" w14:textId="77777777" w:rsidR="005B5610" w:rsidRDefault="005B5610">
      <w:r>
        <w:t>The noun qesavah refers to a jug, pitcher, jar, or bowl specifically used for pouring libations or drink offerings. The term is restricted in the Old Testament to the sacred golden vessels used in the Tabernacle and later in Solomon's Temple. It is distinct from ordinary domestic jars (kad) or smaller drinking cups (kos), specifically denoting a larger vessel from which sacrificial liquids are poured out in a ritual context.</w:t>
      </w:r>
    </w:p>
    <w:p w14:paraId="33A0EA5C" w14:textId="77777777" w:rsidR="005B5610" w:rsidRDefault="005B5610"/>
    <w:p w14:paraId="54A54649" w14:textId="77777777" w:rsidR="005B5610" w:rsidRPr="005B5610" w:rsidRDefault="005B5610">
      <w:pPr>
        <w:rPr>
          <w:b/>
        </w:rPr>
      </w:pPr>
      <w:r w:rsidRPr="005B5610">
        <w:rPr>
          <w:b/>
        </w:rPr>
        <w:t>3. Usage and Word Pictures</w:t>
      </w:r>
    </w:p>
    <w:p w14:paraId="1082A3D3" w14:textId="77777777" w:rsidR="005B5610" w:rsidRDefault="005B5610">
      <w:r>
        <w:t>The term is used exclusively in the context of the sanctuary's vessels—specifically those associated with the Table of Showbread. The word picture of qesavah is intrinsically linked to the act of "pouring out" (nasak). Liquid libations were a standard part of the sacrificial system, representing joy, dedication, and the complete outpouring of one’s life or offerings before God. Because these pitchers were made of solid gold, they reflected the light of the golden lampstand, creating a visual picture of divine glory, light, and abundant provision.</w:t>
      </w:r>
    </w:p>
    <w:p w14:paraId="1437E90D" w14:textId="77777777" w:rsidR="005B5610" w:rsidRDefault="005B5610"/>
    <w:p w14:paraId="1BC1A082" w14:textId="77777777" w:rsidR="005B5610" w:rsidRPr="005B5610" w:rsidRDefault="005B5610">
      <w:pPr>
        <w:rPr>
          <w:b/>
        </w:rPr>
      </w:pPr>
      <w:r w:rsidRPr="005B5610">
        <w:rPr>
          <w:b/>
        </w:rPr>
        <w:t>4. Theological Implications</w:t>
      </w:r>
    </w:p>
    <w:p w14:paraId="4952D840" w14:textId="77777777" w:rsidR="005B5610" w:rsidRDefault="005B5610">
      <w:r>
        <w:t>The presence of the qesavot on the Table of Showbread carries profound theological significance. The Table of Showbread represented communion and covenant fellowship between Yahweh and the twelve tribes of Israel, pictured as a shared meal. A complete ancient Near Eastern covenant meal required both bread and drink. By placing these drink-offering pitchers on the table, God indicated that His fellowship with Israel was complete and joyful. In the New Testament, this dual imagery finds its ultimate fulfillment in the Lord's Supper, which features both the bread and the cup, signifying the body and poured-out blood of Jesus Christ to establish the New Covenant.</w:t>
      </w:r>
    </w:p>
    <w:p w14:paraId="2A7B294A" w14:textId="77777777" w:rsidR="005B5610" w:rsidRDefault="005B5610"/>
    <w:p w14:paraId="16972CBD" w14:textId="77777777" w:rsidR="005B5610" w:rsidRPr="005B5610" w:rsidRDefault="005B5610">
      <w:pPr>
        <w:rPr>
          <w:b/>
        </w:rPr>
      </w:pPr>
      <w:r w:rsidRPr="005B5610">
        <w:rPr>
          <w:b/>
        </w:rPr>
        <w:t>5. Contextual Nuance in the Passage</w:t>
      </w:r>
    </w:p>
    <w:p w14:paraId="158BF84C" w14:textId="77777777" w:rsidR="005B5610" w:rsidRDefault="005B5610">
      <w:r>
        <w:t>In Exodus 37:16, Bezalel is executing the precise instructions given by God to Moses on Mount Sinai. The context emphasizes the meticulous obedience of the craftsman and the absolute purity of the materials used. The pitchers, like the dishes, cups, and bowls on the table, are made of "pure gold." The text notes they are "for pouring drink offerings." In this immediate context, the focus is on the completion of the Tabernacle furnishings. Even the smallest utensil on the Table of Showbread is crafted with divine precision, showing that no detail of worship is insignificant to God.</w:t>
      </w:r>
    </w:p>
    <w:p w14:paraId="4FF30842" w14:textId="77777777" w:rsidR="005B5610" w:rsidRDefault="005B5610"/>
    <w:p w14:paraId="7D3EB435" w14:textId="77777777" w:rsidR="005B5610" w:rsidRPr="005B5610" w:rsidRDefault="005B5610">
      <w:pPr>
        <w:rPr>
          <w:b/>
        </w:rPr>
      </w:pPr>
      <w:r w:rsidRPr="005B5610">
        <w:rPr>
          <w:b/>
        </w:rPr>
        <w:t>6. Key Uses in Other Verses (NKJV)</w:t>
      </w:r>
    </w:p>
    <w:p w14:paraId="20A54B70" w14:textId="77777777" w:rsidR="005B5610" w:rsidRDefault="005B5610">
      <w:r>
        <w:t>• Exodus 25:29 - "You shall make its dishes, its cups, its bowls, and its pitchers for pouring drink offerings; you shall make them of pure gold."</w:t>
      </w:r>
    </w:p>
    <w:p w14:paraId="748609DC" w14:textId="77777777" w:rsidR="005B5610" w:rsidRDefault="005B5610">
      <w:r>
        <w:t>• Numbers 4:7 - "On the table of showbread they shall spread a blue cloth, and put on it the dishes, the cups, the bowls, and the pitchers for pouring; and the showbread shall remain on it."</w:t>
      </w:r>
    </w:p>
    <w:p w14:paraId="2CEE3EEF" w14:textId="77777777" w:rsidR="005B5610" w:rsidRDefault="005B5610">
      <w:r>
        <w:t>• 1 Chronicles 28:17 - "...and pure gold for the forks, the basins, the pitchers of pure gold, and the golden bowls..."</w:t>
      </w:r>
    </w:p>
    <w:p w14:paraId="1DF0E8F4" w14:textId="77777777" w:rsidR="005B5610" w:rsidRDefault="005B5610"/>
    <w:p w14:paraId="4617B78C" w14:textId="77777777" w:rsidR="005B5610" w:rsidRPr="005B5610" w:rsidRDefault="005B5610">
      <w:pPr>
        <w:rPr>
          <w:b/>
        </w:rPr>
      </w:pPr>
      <w:r w:rsidRPr="005B5610">
        <w:rPr>
          <w:b/>
        </w:rPr>
        <w:t>7. Other Relevant Insights</w:t>
      </w:r>
    </w:p>
    <w:p w14:paraId="472FDC6B" w14:textId="77777777" w:rsidR="005B5610" w:rsidRDefault="005B5610">
      <w:r>
        <w:t>In the Septuagint, the Greek translation of the Old Testament, the Hebrew qesavot is translated using the Greek word spondeia, which refers to libation cups or vessels used for pouring out drink offerings. This Greek equivalent reinforces the sacrificial and ritual pouring function of these pitchers. The transition of these vessels from the portable Tabernacle to the permanent Temple built by Solomon shows the continuity of the covenant rituals, ensuring that the visual representation of God's fellowship with His people remained uninterrupted through generations.</w:t>
      </w:r>
    </w:p>
    <w:p w14:paraId="1D5CE057" w14:textId="77777777" w:rsidR="005B5610" w:rsidRDefault="005B5610"/>
    <w:p w14:paraId="09750A3F" w14:textId="77777777" w:rsidR="005B5610" w:rsidRPr="005B5610" w:rsidRDefault="005B5610">
      <w:pPr>
        <w:rPr>
          <w:b/>
        </w:rPr>
      </w:pPr>
      <w:r w:rsidRPr="005B5610">
        <w:rPr>
          <w:b/>
        </w:rPr>
        <w:t>8. References</w:t>
      </w:r>
    </w:p>
    <w:p w14:paraId="36A62815" w14:textId="77777777" w:rsidR="005B5610" w:rsidRDefault="005B5610">
      <w:r>
        <w:t>• Brown, Francis, S.R. Driver, and Charles A. Briggs. The Brown-Driver-Briggs Hebrew and English Lexicon.</w:t>
      </w:r>
    </w:p>
    <w:p w14:paraId="3C80AFDC" w14:textId="77777777" w:rsidR="005B5610" w:rsidRDefault="005B5610">
      <w:r>
        <w:t>• Harris, R. Laird, Gleason L. Archer Jr., and Bruce K. Waltke. Theological Wordbook of the Old Testament.</w:t>
      </w:r>
    </w:p>
    <w:p w14:paraId="5B19FE1F" w14:textId="77777777" w:rsidR="005B5610" w:rsidRDefault="005B5610">
      <w:r>
        <w:t>• Koehler, Ludwig, Walter Baumgartner, and M.E.J. Richardson. The Hebrew and Aramaic Lexicon of the Old Testament.</w:t>
      </w:r>
    </w:p>
    <w:p w14:paraId="6A0288F5" w14:textId="47087C04" w:rsidR="004C5552" w:rsidRDefault="005B5610">
      <w:r>
        <w:t>• Gesenius, Wilhelm.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61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B5610"/>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FEC82"/>
  <w15:chartTrackingRefBased/>
  <w15:docId w15:val="{70B7D205-1F1E-43C9-9DA2-DE854B93C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B5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B5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610"/>
    <w:rPr>
      <w:rFonts w:eastAsiaTheme="majorEastAsia" w:cstheme="majorBidi"/>
      <w:color w:val="272727" w:themeColor="text1" w:themeTint="D8"/>
    </w:rPr>
  </w:style>
  <w:style w:type="paragraph" w:styleId="Title">
    <w:name w:val="Title"/>
    <w:basedOn w:val="Normal"/>
    <w:next w:val="Normal"/>
    <w:link w:val="TitleChar"/>
    <w:uiPriority w:val="10"/>
    <w:qFormat/>
    <w:rsid w:val="005B5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610"/>
    <w:pPr>
      <w:spacing w:before="160"/>
      <w:jc w:val="center"/>
    </w:pPr>
    <w:rPr>
      <w:i/>
      <w:iCs/>
      <w:color w:val="404040" w:themeColor="text1" w:themeTint="BF"/>
    </w:rPr>
  </w:style>
  <w:style w:type="character" w:customStyle="1" w:styleId="QuoteChar">
    <w:name w:val="Quote Char"/>
    <w:basedOn w:val="DefaultParagraphFont"/>
    <w:link w:val="Quote"/>
    <w:uiPriority w:val="29"/>
    <w:rsid w:val="005B5610"/>
    <w:rPr>
      <w:i/>
      <w:iCs/>
      <w:color w:val="404040" w:themeColor="text1" w:themeTint="BF"/>
    </w:rPr>
  </w:style>
  <w:style w:type="paragraph" w:styleId="ListParagraph">
    <w:name w:val="List Paragraph"/>
    <w:basedOn w:val="Normal"/>
    <w:uiPriority w:val="34"/>
    <w:qFormat/>
    <w:rsid w:val="005B5610"/>
    <w:pPr>
      <w:ind w:left="720"/>
      <w:contextualSpacing/>
    </w:pPr>
  </w:style>
  <w:style w:type="character" w:styleId="IntenseEmphasis">
    <w:name w:val="Intense Emphasis"/>
    <w:basedOn w:val="DefaultParagraphFont"/>
    <w:uiPriority w:val="21"/>
    <w:qFormat/>
    <w:rsid w:val="005B5610"/>
    <w:rPr>
      <w:i/>
      <w:iCs/>
      <w:color w:val="2E74B5" w:themeColor="accent1" w:themeShade="BF"/>
    </w:rPr>
  </w:style>
  <w:style w:type="paragraph" w:styleId="IntenseQuote">
    <w:name w:val="Intense Quote"/>
    <w:basedOn w:val="Normal"/>
    <w:next w:val="Normal"/>
    <w:link w:val="IntenseQuoteChar"/>
    <w:uiPriority w:val="30"/>
    <w:qFormat/>
    <w:rsid w:val="005B56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B5610"/>
    <w:rPr>
      <w:i/>
      <w:iCs/>
      <w:color w:val="2E74B5" w:themeColor="accent1" w:themeShade="BF"/>
    </w:rPr>
  </w:style>
  <w:style w:type="character" w:styleId="IntenseReference">
    <w:name w:val="Intense Reference"/>
    <w:basedOn w:val="DefaultParagraphFont"/>
    <w:uiPriority w:val="32"/>
    <w:qFormat/>
    <w:rsid w:val="005B56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773</Words>
  <Characters>4410</Characters>
  <Application>Microsoft Office Word</Application>
  <DocSecurity>0</DocSecurity>
  <Lines>36</Lines>
  <Paragraphs>10</Paragraphs>
  <ScaleCrop>false</ScaleCrop>
  <Company/>
  <LinksUpToDate>false</LinksUpToDate>
  <CharactersWithSpaces>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2026-08-14T11:23:00Z</dcterms:created>
  <dcterms:modified xsi:type="dcterms:W3CDTF">2026-08-14T11:23:00Z</dcterms:modified>
</cp:coreProperties>
</file>