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602B" w14:textId="77777777" w:rsidR="00672362" w:rsidRPr="00672362" w:rsidRDefault="00672362">
      <w:pPr>
        <w:rPr>
          <w:b/>
        </w:rPr>
      </w:pPr>
      <w:r w:rsidRPr="00672362">
        <w:rPr>
          <w:b/>
        </w:rPr>
        <w:t>HOLDERS - ( battim, Strong's H1004 )</w:t>
      </w:r>
    </w:p>
    <w:p w14:paraId="0B633B7A" w14:textId="77777777" w:rsidR="00672362" w:rsidRDefault="00672362">
      <w:r w:rsidRPr="00672362">
        <w:rPr>
          <w:b/>
        </w:rPr>
        <w:t>Summary:</w:t>
      </w:r>
    </w:p>
    <w:p w14:paraId="079A6576" w14:textId="77777777" w:rsidR="00672362" w:rsidRDefault="00672362">
      <w:r>
        <w:t>The Hebrew word translated "holders" in Exodus 37:27 is the plural of bayith, which normally means "house," "household," or "dwelling." In the architectural descriptions of the Tabernacle and its furnishings, however, the word is used metaphorically to denote a receptacle, socket, or housing designed to hold something else—in this case, the poles used to carry the Golden Altar of Incense. This specific use demonstrates how a common word for a home or shelter was applied to the precise, functional details of God's sanctuary, representing secure placement, stability, and orderly service.</w:t>
      </w:r>
    </w:p>
    <w:p w14:paraId="45690070" w14:textId="77777777" w:rsidR="00672362" w:rsidRDefault="00672362"/>
    <w:p w14:paraId="5DF7B702" w14:textId="77777777" w:rsidR="00672362" w:rsidRDefault="00672362">
      <w:r w:rsidRPr="00672362">
        <w:rPr>
          <w:b/>
        </w:rPr>
        <w:t>Full Study:</w:t>
      </w:r>
    </w:p>
    <w:p w14:paraId="182966B1" w14:textId="77777777" w:rsidR="00672362" w:rsidRDefault="00672362"/>
    <w:p w14:paraId="6ED4B8C6" w14:textId="77777777" w:rsidR="00672362" w:rsidRPr="00672362" w:rsidRDefault="00672362">
      <w:pPr>
        <w:rPr>
          <w:b/>
        </w:rPr>
      </w:pPr>
      <w:r w:rsidRPr="00672362">
        <w:rPr>
          <w:b/>
        </w:rPr>
        <w:t>1. Word Picture / Background</w:t>
      </w:r>
    </w:p>
    <w:p w14:paraId="40782EA0" w14:textId="77777777" w:rsidR="00672362" w:rsidRDefault="00672362">
      <w:r>
        <w:t>The primary meaning of bayith is "house," representing a place of habitation, safety, and belonging. It is one of the most frequent nouns in the Hebrew Bible. However, when applied to the construction of the Tabernacle, the word transitions from a literal dwelling for people to a functional "dwelling" or "housing" for structural components. Just as a house contains and secures its inhabitants, these "holders" (battim) contained and secured the carrying poles, ensuring they remained stably in place when the sacred furniture was transported through the wilderness.</w:t>
      </w:r>
    </w:p>
    <w:p w14:paraId="1A44CE40" w14:textId="77777777" w:rsidR="00672362" w:rsidRDefault="00672362"/>
    <w:p w14:paraId="61276709" w14:textId="77777777" w:rsidR="00672362" w:rsidRPr="00672362" w:rsidRDefault="00672362">
      <w:pPr>
        <w:rPr>
          <w:b/>
        </w:rPr>
      </w:pPr>
      <w:r w:rsidRPr="00672362">
        <w:rPr>
          <w:b/>
        </w:rPr>
        <w:t>2. Meaning / Lexical Definition</w:t>
      </w:r>
    </w:p>
    <w:p w14:paraId="43A3BFE3" w14:textId="77777777" w:rsidR="00672362" w:rsidRDefault="00672362">
      <w:r>
        <w:t>In Hebrew lexicography, bayith has a broad semantic range:</w:t>
      </w:r>
    </w:p>
    <w:p w14:paraId="6F0651C2" w14:textId="77777777" w:rsidR="00672362" w:rsidRDefault="00672362">
      <w:r>
        <w:t>• A literal house, dwelling, or building.</w:t>
      </w:r>
    </w:p>
    <w:p w14:paraId="7A5FE4AA" w14:textId="77777777" w:rsidR="00672362" w:rsidRDefault="00672362">
      <w:r>
        <w:t>• A household, family, or lineage (such as the "house of David").</w:t>
      </w:r>
    </w:p>
    <w:p w14:paraId="2AD986E0" w14:textId="77777777" w:rsidR="00672362" w:rsidRDefault="00672362">
      <w:r>
        <w:t>• The interior or inside of something (as opposed to the outside).</w:t>
      </w:r>
    </w:p>
    <w:p w14:paraId="796D80ED" w14:textId="77777777" w:rsidR="00672362" w:rsidRDefault="00672362">
      <w:r>
        <w:t>• In technical architectural contexts, a receptacle, socket, holder, casing, or place for inserting something (such as poles, straps, or bars).</w:t>
      </w:r>
    </w:p>
    <w:p w14:paraId="1E42E12C" w14:textId="77777777" w:rsidR="00672362" w:rsidRDefault="00672362">
      <w:r>
        <w:t>In Exodus 37:27, the plural form battim means "receptacles" or "holders." It designates the gold rings functioning as channels or housings through which the carrying poles (baddim) were slid.</w:t>
      </w:r>
    </w:p>
    <w:p w14:paraId="548B52DE" w14:textId="77777777" w:rsidR="00672362" w:rsidRDefault="00672362"/>
    <w:p w14:paraId="409A9A0E" w14:textId="77777777" w:rsidR="00672362" w:rsidRPr="00672362" w:rsidRDefault="00672362">
      <w:pPr>
        <w:rPr>
          <w:b/>
        </w:rPr>
      </w:pPr>
      <w:r w:rsidRPr="00672362">
        <w:rPr>
          <w:b/>
        </w:rPr>
        <w:t>3. Usage and Word Pictures</w:t>
      </w:r>
    </w:p>
    <w:p w14:paraId="67F8C84A" w14:textId="77777777" w:rsidR="00672362" w:rsidRDefault="00672362">
      <w:r>
        <w:t>The use of bayith as "holders" or "places for" occurs several times in the construction details of the Tabernacle:</w:t>
      </w:r>
    </w:p>
    <w:p w14:paraId="2F58041B" w14:textId="77777777" w:rsidR="00672362" w:rsidRDefault="00672362">
      <w:r>
        <w:t>• It describes the rings for the poles of the Ark of the Covenant (Exodus 25:27), the Table of Showbread (Exodus 25:30), the Bronze Altar (Exodus 38:5), and the Altar of Incense (Exodus 37:27).</w:t>
      </w:r>
    </w:p>
    <w:p w14:paraId="0558AE00" w14:textId="77777777" w:rsidR="00672362" w:rsidRDefault="00672362">
      <w:r>
        <w:t>• It is used to describe the "places" or "pockets" on the high priest's ephod and breastplate where the cords or rings were fastened (Exodus 28:26; 39:19).</w:t>
      </w:r>
    </w:p>
    <w:p w14:paraId="64E41998" w14:textId="77777777" w:rsidR="00672362" w:rsidRDefault="00672362">
      <w:r>
        <w:t>The word picture is beautiful in its simplicity: even the carrying poles had their own designated "homes" or "resting places" within the sacred design. Nothing was left loose, dangling, or unattached. Everything in God's presence had a proper home.</w:t>
      </w:r>
    </w:p>
    <w:p w14:paraId="060008CA" w14:textId="77777777" w:rsidR="00672362" w:rsidRDefault="00672362"/>
    <w:p w14:paraId="0CF2DBD5" w14:textId="77777777" w:rsidR="00672362" w:rsidRPr="00672362" w:rsidRDefault="00672362">
      <w:pPr>
        <w:rPr>
          <w:b/>
        </w:rPr>
      </w:pPr>
      <w:r w:rsidRPr="00672362">
        <w:rPr>
          <w:b/>
        </w:rPr>
        <w:t>4. Theological Implications</w:t>
      </w:r>
    </w:p>
    <w:p w14:paraId="1F5AC748" w14:textId="77777777" w:rsidR="00672362" w:rsidRDefault="00672362">
      <w:r>
        <w:t xml:space="preserve">The Tabernacle was the temporary, portable dwelling place of God among His people. The attention to detail in its construction—down to the battim (holders/houses) for the poles—signals that God cares deeply about order, reverence, and preparation. </w:t>
      </w:r>
    </w:p>
    <w:p w14:paraId="1AF2193B" w14:textId="77777777" w:rsidR="00672362" w:rsidRDefault="00672362">
      <w:r>
        <w:t>• Order and Stability: The holiness of God requires order. The holy vessels could not be touched directly by human hands during transport; they had to be carried by poles. The battim secured these poles, ensuring that the holy things were transported with dignity, stability, and in strict accordance with divine instruction.</w:t>
      </w:r>
    </w:p>
    <w:p w14:paraId="4052796C" w14:textId="77777777" w:rsidR="00672362" w:rsidRDefault="00672362">
      <w:r>
        <w:t>• The Concept of "Dwelling": It is theologically rich that the same word used for God's "house" (Bethel or Beit YHWH) is used for the tiny sockets holding the poles. It underscores a pervasive biblical theme: everything in the Tabernacle, from the grandest structure to the smallest ring, is integrated into the overarching theme of "housing" or "dwelling" with God.</w:t>
      </w:r>
    </w:p>
    <w:p w14:paraId="712FD7BE" w14:textId="77777777" w:rsidR="00672362" w:rsidRDefault="00672362"/>
    <w:p w14:paraId="3969C7EE" w14:textId="77777777" w:rsidR="00672362" w:rsidRPr="00672362" w:rsidRDefault="00672362">
      <w:pPr>
        <w:rPr>
          <w:b/>
        </w:rPr>
      </w:pPr>
      <w:r w:rsidRPr="00672362">
        <w:rPr>
          <w:b/>
        </w:rPr>
        <w:t>5. Contextual Nuance in the Passage</w:t>
      </w:r>
    </w:p>
    <w:p w14:paraId="50C03276" w14:textId="77777777" w:rsidR="00672362" w:rsidRDefault="00672362">
      <w:r>
        <w:t>In Exodus 37:27, Bezalel is constructing the Altar of Incense. This altar stood in the Holy Place, directly before the veil, representing the prayers of God's people ascending to Him. The altar had to be portable because Israel was on the move. The two gold rings placed under the molding on its sides served as battim (holders) for the acacia-wood poles overlaid with gold. The placement was precise—under the molding, on the sides—to balance the weight of the altar perfectly when lifted. The battim ensured that the altar of prayer was always ready to move when God's cloud moved, signifying that prayer is constant and adaptable to every stage of the believer's journey.</w:t>
      </w:r>
    </w:p>
    <w:p w14:paraId="1A59F7BC" w14:textId="77777777" w:rsidR="00672362" w:rsidRDefault="00672362"/>
    <w:p w14:paraId="711558D6" w14:textId="77777777" w:rsidR="00672362" w:rsidRPr="00672362" w:rsidRDefault="00672362">
      <w:pPr>
        <w:rPr>
          <w:b/>
        </w:rPr>
      </w:pPr>
      <w:r w:rsidRPr="00672362">
        <w:rPr>
          <w:b/>
        </w:rPr>
        <w:t>6. Key Uses in Other Verses (NKJV)</w:t>
      </w:r>
    </w:p>
    <w:p w14:paraId="11C0452A" w14:textId="77777777" w:rsidR="00672362" w:rsidRDefault="00672362">
      <w:r>
        <w:t>• Exodus 25:27: "The rings shall be close to the molding as places for the poles to bear the table."</w:t>
      </w:r>
    </w:p>
    <w:p w14:paraId="20AA70F9" w14:textId="77777777" w:rsidR="00672362" w:rsidRDefault="00672362">
      <w:r>
        <w:t>• Exodus 26:29: "You shall overlay the boards with gold, make their rings of gold as holders for the bars, and overlay the bars with gold."</w:t>
      </w:r>
    </w:p>
    <w:p w14:paraId="3C7FCB2F" w14:textId="77777777" w:rsidR="00672362" w:rsidRDefault="00672362">
      <w:r>
        <w:t>• Exodus 38:5: "He cast four rings for the four corners of the bronze grating, as holders for the poles."</w:t>
      </w:r>
    </w:p>
    <w:p w14:paraId="3166317A" w14:textId="77777777" w:rsidR="00672362" w:rsidRDefault="00672362">
      <w:r>
        <w:t>• Exodus 39:19: "...on the edge of its inner side, which was on the inward side of the breastplate, as holders for the rings."</w:t>
      </w:r>
    </w:p>
    <w:p w14:paraId="5D6D99DC" w14:textId="77777777" w:rsidR="00672362" w:rsidRDefault="00672362"/>
    <w:p w14:paraId="36D975DA" w14:textId="77777777" w:rsidR="00672362" w:rsidRPr="00672362" w:rsidRDefault="00672362">
      <w:pPr>
        <w:rPr>
          <w:b/>
        </w:rPr>
      </w:pPr>
      <w:r w:rsidRPr="00672362">
        <w:rPr>
          <w:b/>
        </w:rPr>
        <w:t>7. Other Relevant Insights</w:t>
      </w:r>
    </w:p>
    <w:p w14:paraId="366E5676" w14:textId="77777777" w:rsidR="00672362" w:rsidRDefault="00672362">
      <w:r>
        <w:t>A fascinating linguistic connection exists in the Hebrew text of Exodus 37:27. The text reads: lêbāttîm lêbaddîm, which translates literally as "for houses for poles." The words battim (houses/holders) and baddim (poles) sound remarkably similar, creating an intentional poetic assonance in the Hebrew. This wordplay highlights the perfect fit between the holder and the pole. In God’s design, there is a perfect, tailor-made "house" for every instrument of service.</w:t>
      </w:r>
    </w:p>
    <w:p w14:paraId="555BCFCB" w14:textId="77777777" w:rsidR="00672362" w:rsidRDefault="00672362"/>
    <w:p w14:paraId="24F3594D" w14:textId="77777777" w:rsidR="00672362" w:rsidRPr="00672362" w:rsidRDefault="00672362">
      <w:pPr>
        <w:rPr>
          <w:b/>
        </w:rPr>
      </w:pPr>
      <w:r w:rsidRPr="00672362">
        <w:rPr>
          <w:b/>
        </w:rPr>
        <w:t>8. References</w:t>
      </w:r>
    </w:p>
    <w:p w14:paraId="244C1790" w14:textId="77777777" w:rsidR="00672362" w:rsidRDefault="00672362">
      <w:r>
        <w:t>• Brown-Driver-Briggs Hebrew and English Lexicon</w:t>
      </w:r>
    </w:p>
    <w:p w14:paraId="62BCBBDE" w14:textId="77777777" w:rsidR="00672362" w:rsidRDefault="00672362">
      <w:r>
        <w:t>• Theological Wordbook of the Old Testament (TWOT)</w:t>
      </w:r>
    </w:p>
    <w:p w14:paraId="365591C7" w14:textId="77777777" w:rsidR="00672362" w:rsidRDefault="00672362">
      <w:r>
        <w:t>• Hebrew and Aramaic Lexicon of the Old Testament (HALOT)</w:t>
      </w:r>
    </w:p>
    <w:p w14:paraId="540E36BF" w14:textId="77777777" w:rsidR="00672362" w:rsidRDefault="00672362">
      <w:r>
        <w:t>• Expository Dictionary of Bible Words by Stephen D. Renn</w:t>
      </w:r>
    </w:p>
    <w:p w14:paraId="2B535510" w14:textId="40571B92" w:rsidR="004C5552" w:rsidRDefault="00672362">
      <w:r>
        <w:t>• Commentary on the Old Testament by C.F. Keil and Franz Delitzsch</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2362"/>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7FC06"/>
  <w15:chartTrackingRefBased/>
  <w15:docId w15:val="{3825318F-D102-4C39-BD22-251018D5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2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2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362"/>
    <w:rPr>
      <w:rFonts w:eastAsiaTheme="majorEastAsia" w:cstheme="majorBidi"/>
      <w:color w:val="272727" w:themeColor="text1" w:themeTint="D8"/>
    </w:rPr>
  </w:style>
  <w:style w:type="paragraph" w:styleId="Title">
    <w:name w:val="Title"/>
    <w:basedOn w:val="Normal"/>
    <w:next w:val="Normal"/>
    <w:link w:val="TitleChar"/>
    <w:uiPriority w:val="10"/>
    <w:qFormat/>
    <w:rsid w:val="00672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362"/>
    <w:pPr>
      <w:spacing w:before="160"/>
      <w:jc w:val="center"/>
    </w:pPr>
    <w:rPr>
      <w:i/>
      <w:iCs/>
      <w:color w:val="404040" w:themeColor="text1" w:themeTint="BF"/>
    </w:rPr>
  </w:style>
  <w:style w:type="character" w:customStyle="1" w:styleId="QuoteChar">
    <w:name w:val="Quote Char"/>
    <w:basedOn w:val="DefaultParagraphFont"/>
    <w:link w:val="Quote"/>
    <w:uiPriority w:val="29"/>
    <w:rsid w:val="00672362"/>
    <w:rPr>
      <w:i/>
      <w:iCs/>
      <w:color w:val="404040" w:themeColor="text1" w:themeTint="BF"/>
    </w:rPr>
  </w:style>
  <w:style w:type="paragraph" w:styleId="ListParagraph">
    <w:name w:val="List Paragraph"/>
    <w:basedOn w:val="Normal"/>
    <w:uiPriority w:val="34"/>
    <w:qFormat/>
    <w:rsid w:val="00672362"/>
    <w:pPr>
      <w:ind w:left="720"/>
      <w:contextualSpacing/>
    </w:pPr>
  </w:style>
  <w:style w:type="character" w:styleId="IntenseEmphasis">
    <w:name w:val="Intense Emphasis"/>
    <w:basedOn w:val="DefaultParagraphFont"/>
    <w:uiPriority w:val="21"/>
    <w:qFormat/>
    <w:rsid w:val="00672362"/>
    <w:rPr>
      <w:i/>
      <w:iCs/>
      <w:color w:val="2E74B5" w:themeColor="accent1" w:themeShade="BF"/>
    </w:rPr>
  </w:style>
  <w:style w:type="paragraph" w:styleId="IntenseQuote">
    <w:name w:val="Intense Quote"/>
    <w:basedOn w:val="Normal"/>
    <w:next w:val="Normal"/>
    <w:link w:val="IntenseQuoteChar"/>
    <w:uiPriority w:val="30"/>
    <w:qFormat/>
    <w:rsid w:val="006723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2362"/>
    <w:rPr>
      <w:i/>
      <w:iCs/>
      <w:color w:val="2E74B5" w:themeColor="accent1" w:themeShade="BF"/>
    </w:rPr>
  </w:style>
  <w:style w:type="character" w:styleId="IntenseReference">
    <w:name w:val="Intense Reference"/>
    <w:basedOn w:val="DefaultParagraphFont"/>
    <w:uiPriority w:val="32"/>
    <w:qFormat/>
    <w:rsid w:val="006723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