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3E72" w14:textId="77777777" w:rsidR="00485A74" w:rsidRPr="00485A74" w:rsidRDefault="00485A74">
      <w:pPr>
        <w:rPr>
          <w:b/>
        </w:rPr>
      </w:pPr>
      <w:r w:rsidRPr="00485A74">
        <w:rPr>
          <w:b/>
        </w:rPr>
        <w:t>RINGS - ( tsaphah / tabba'ath , Strong's [H2885] )</w:t>
      </w:r>
    </w:p>
    <w:p w14:paraId="78273ED7" w14:textId="77777777" w:rsidR="00485A74" w:rsidRDefault="00485A74">
      <w:r w:rsidRPr="00485A74">
        <w:rPr>
          <w:b/>
        </w:rPr>
        <w:t>Summary:</w:t>
      </w:r>
    </w:p>
    <w:p w14:paraId="636E20F2" w14:textId="77777777" w:rsidR="00485A74" w:rsidRDefault="00485A74">
      <w:r>
        <w:t>The Hebrew word tabba'ath refers to a signet, ring, or fastened band of metal used for carrying and connecting structural elements of the tabernacle furnishings. In Exodus 37:3, these gold rings provided the functional mechanism by which the ark of the covenant was lifted and transported during the wilderness journey, symbolizing both readiness for movement and the unceasing presence of God among His people.</w:t>
      </w:r>
    </w:p>
    <w:p w14:paraId="0A34AF70" w14:textId="77777777" w:rsidR="00485A74" w:rsidRDefault="00485A74"/>
    <w:p w14:paraId="4ED2CF27" w14:textId="77777777" w:rsidR="00485A74" w:rsidRDefault="00485A74">
      <w:r w:rsidRPr="00485A74">
        <w:rPr>
          <w:b/>
        </w:rPr>
        <w:t>Full Study:</w:t>
      </w:r>
    </w:p>
    <w:p w14:paraId="309538A3" w14:textId="77777777" w:rsidR="00485A74" w:rsidRDefault="00485A74"/>
    <w:p w14:paraId="3B382446" w14:textId="77777777" w:rsidR="00485A74" w:rsidRPr="00485A74" w:rsidRDefault="00485A74">
      <w:pPr>
        <w:rPr>
          <w:b/>
        </w:rPr>
      </w:pPr>
      <w:r w:rsidRPr="00485A74">
        <w:rPr>
          <w:b/>
        </w:rPr>
        <w:t>1. Word Picture / Background</w:t>
      </w:r>
    </w:p>
    <w:p w14:paraId="37C220A0" w14:textId="77777777" w:rsidR="00485A74" w:rsidRDefault="00485A74">
      <w:r>
        <w:t>- Derived from a root meaning to sink, impress, or stamp, tabba'ath primarily denotes a circular band or seal ring pressed into wax or clay to mark ownership and authority.</w:t>
      </w:r>
    </w:p>
    <w:p w14:paraId="05DD5438" w14:textId="77777777" w:rsidR="00485A74" w:rsidRDefault="00485A74">
      <w:r>
        <w:t>- In the architectural context of the wilderness tabernacle, these rings functioned as practical anchor points, securing the long poles used by the Levites to transport holy items without human hands touching the sacred vessels.</w:t>
      </w:r>
    </w:p>
    <w:p w14:paraId="7FBBAEBD" w14:textId="77777777" w:rsidR="00485A74" w:rsidRDefault="00485A74">
      <w:r>
        <w:t>- The casting of these rings from solid gold for the ark emphasizes the divine precision and craftsmanship commanded by God for the dwelling place of His glory.</w:t>
      </w:r>
    </w:p>
    <w:p w14:paraId="48874883" w14:textId="77777777" w:rsidR="00485A74" w:rsidRDefault="00485A74"/>
    <w:p w14:paraId="54269223" w14:textId="77777777" w:rsidR="00485A74" w:rsidRPr="00485A74" w:rsidRDefault="00485A74">
      <w:pPr>
        <w:rPr>
          <w:b/>
        </w:rPr>
      </w:pPr>
      <w:r w:rsidRPr="00485A74">
        <w:rPr>
          <w:b/>
        </w:rPr>
        <w:t>2. Meaning / Lexical Definition</w:t>
      </w:r>
    </w:p>
    <w:p w14:paraId="1DF229BF" w14:textId="77777777" w:rsidR="00485A74" w:rsidRDefault="00485A74">
      <w:r>
        <w:t>- Tabba'ath translates strictly as a ring, signet ring, or seal ring.</w:t>
      </w:r>
    </w:p>
    <w:p w14:paraId="7156B426" w14:textId="77777777" w:rsidR="00485A74" w:rsidRDefault="00485A74">
      <w:r>
        <w:t>- In technical architectural usage throughout Exodus, it designates metal loops or collars securely fastened to the corners or sides of sacred furniture to receive carrying poles.</w:t>
      </w:r>
    </w:p>
    <w:p w14:paraId="7FD42F1F" w14:textId="77777777" w:rsidR="00485A74" w:rsidRDefault="00485A74">
      <w:r>
        <w:t>- The term consistently implies an engineered connection designed to join mobility with sanctity.</w:t>
      </w:r>
    </w:p>
    <w:p w14:paraId="217FFF5E" w14:textId="77777777" w:rsidR="00485A74" w:rsidRDefault="00485A74"/>
    <w:p w14:paraId="7B302B07" w14:textId="77777777" w:rsidR="00485A74" w:rsidRPr="00485A74" w:rsidRDefault="00485A74">
      <w:pPr>
        <w:rPr>
          <w:b/>
        </w:rPr>
      </w:pPr>
      <w:r w:rsidRPr="00485A74">
        <w:rPr>
          <w:b/>
        </w:rPr>
        <w:t>3. Usage and Word Pictures</w:t>
      </w:r>
    </w:p>
    <w:p w14:paraId="3B60551A" w14:textId="77777777" w:rsidR="00485A74" w:rsidRDefault="00485A74">
      <w:r>
        <w:t>- The word appears frequently in the Torah, especially within the detailed instructions for constructing the tabernacle furniture and the high priest's garments.</w:t>
      </w:r>
    </w:p>
    <w:p w14:paraId="68EB8FF6" w14:textId="77777777" w:rsidR="00485A74" w:rsidRDefault="00485A74">
      <w:r>
        <w:t>- Beyond hardware, the term retains its conceptual link to royal authority and binding promises, much like Pharaoh's signet ring given to Joseph.</w:t>
      </w:r>
    </w:p>
    <w:p w14:paraId="59081716" w14:textId="77777777" w:rsidR="00485A74" w:rsidRDefault="00485A74">
      <w:r>
        <w:t>- In Exodus 37:3, the imagery is one of preparation: the ark is equipped with rings at its four lower corners, ensuring it is always ready to move with the pilgrim nation.</w:t>
      </w:r>
    </w:p>
    <w:p w14:paraId="61B47C54" w14:textId="77777777" w:rsidR="00485A74" w:rsidRDefault="00485A74"/>
    <w:p w14:paraId="38E26B10" w14:textId="77777777" w:rsidR="00485A74" w:rsidRPr="00485A74" w:rsidRDefault="00485A74">
      <w:pPr>
        <w:rPr>
          <w:b/>
        </w:rPr>
      </w:pPr>
      <w:r w:rsidRPr="00485A74">
        <w:rPr>
          <w:b/>
        </w:rPr>
        <w:t>4. Theological Implications</w:t>
      </w:r>
    </w:p>
    <w:p w14:paraId="43119420" w14:textId="77777777" w:rsidR="00485A74" w:rsidRDefault="00485A74">
      <w:r>
        <w:t>- The rings on the ark highlight the paradox of a holy God who dwells permanently in heaven yet chooses to move dynamically with His wandering people on earth.</w:t>
      </w:r>
    </w:p>
    <w:p w14:paraId="32BDC8F6" w14:textId="77777777" w:rsidR="00485A74" w:rsidRDefault="00485A74">
      <w:r>
        <w:t>- By commanding that poles remain permanently in the rings (Exodus 25:15), God instituted a standing reminder that His presence is not static or domesticated, but active and engaged in the historical journey of His covenant community.</w:t>
      </w:r>
    </w:p>
    <w:p w14:paraId="05748E69" w14:textId="77777777" w:rsidR="00485A74" w:rsidRDefault="00485A74"/>
    <w:p w14:paraId="7210702B" w14:textId="77777777" w:rsidR="00485A74" w:rsidRPr="00485A74" w:rsidRDefault="00485A74">
      <w:pPr>
        <w:rPr>
          <w:b/>
        </w:rPr>
      </w:pPr>
      <w:r w:rsidRPr="00485A74">
        <w:rPr>
          <w:b/>
        </w:rPr>
        <w:t>5. Contextual Nuance in the Passage</w:t>
      </w:r>
    </w:p>
    <w:p w14:paraId="11F43782" w14:textId="77777777" w:rsidR="00485A74" w:rsidRDefault="00485A74">
      <w:r>
        <w:t>- In Exodus 37:3, Bezaleel is executing the physical construction of the ark just as Moses was commanded on the mountain.</w:t>
      </w:r>
    </w:p>
    <w:p w14:paraId="2C8D9E7A" w14:textId="77777777" w:rsidR="00485A74" w:rsidRDefault="00485A74">
      <w:r>
        <w:t>- The placement of "two rings on one side and two rings on the other side" ensured balanced, stable transportation across rugged desert terrain, maintaining proper reverence for the throne of God.</w:t>
      </w:r>
    </w:p>
    <w:p w14:paraId="7BB347B0" w14:textId="77777777" w:rsidR="00485A74" w:rsidRDefault="00485A74"/>
    <w:p w14:paraId="45A84BFF" w14:textId="77777777" w:rsidR="00485A74" w:rsidRPr="00485A74" w:rsidRDefault="00485A74">
      <w:pPr>
        <w:rPr>
          <w:b/>
        </w:rPr>
      </w:pPr>
      <w:r w:rsidRPr="00485A74">
        <w:rPr>
          <w:b/>
        </w:rPr>
        <w:t>6. Key Uses in Other Verses (NKJV)</w:t>
      </w:r>
    </w:p>
    <w:p w14:paraId="03D14357" w14:textId="77777777" w:rsidR="00485A74" w:rsidRDefault="00485A74">
      <w:r>
        <w:t>- Exodus 25:12: "You shall cast four rings of gold for it, and put them in its four corners: two rings shall be on one side, and two rings on the other side."</w:t>
      </w:r>
    </w:p>
    <w:p w14:paraId="1339E9AC" w14:textId="77777777" w:rsidR="00485A74" w:rsidRDefault="00485A74">
      <w:r>
        <w:t>- Exodus 28:28: "They shall bind the breastplate by means of its rings to the rings of the ephod, using a blue cord, so that it is above the intricately woven band of the ephod..."</w:t>
      </w:r>
    </w:p>
    <w:p w14:paraId="60845F2E" w14:textId="77777777" w:rsidR="00485A74" w:rsidRDefault="00485A74">
      <w:r>
        <w:t>- Exodus 38:5: "He cast four rings for the four corners of the bronze grating, to put the poles in."</w:t>
      </w:r>
    </w:p>
    <w:p w14:paraId="475EF8AC" w14:textId="77777777" w:rsidR="00485A74" w:rsidRDefault="00485A74"/>
    <w:p w14:paraId="633971EF" w14:textId="77777777" w:rsidR="00485A74" w:rsidRPr="00485A74" w:rsidRDefault="00485A74">
      <w:pPr>
        <w:rPr>
          <w:b/>
        </w:rPr>
      </w:pPr>
      <w:r w:rsidRPr="00485A74">
        <w:rPr>
          <w:b/>
        </w:rPr>
        <w:t>7. Other Relevant Insights</w:t>
      </w:r>
    </w:p>
    <w:p w14:paraId="469D80F8" w14:textId="77777777" w:rsidR="00485A74" w:rsidRDefault="00485A74">
      <w:r>
        <w:t>- The consistent use of gold for the rings of the ark reinforces the absolute purity required for anything coming into direct contact with the means of God's transport and presence.</w:t>
      </w:r>
    </w:p>
    <w:p w14:paraId="12CB1D87" w14:textId="77777777" w:rsidR="00485A74" w:rsidRDefault="00485A74">
      <w:r>
        <w:t>- The structural necessity of the rings teaches that divine worship involves careful, orderly obedience down to the smallest detail of craftsmanship.</w:t>
      </w:r>
    </w:p>
    <w:p w14:paraId="32B85634" w14:textId="77777777" w:rsidR="00485A74" w:rsidRDefault="00485A74"/>
    <w:p w14:paraId="164E10B4" w14:textId="77777777" w:rsidR="00485A74" w:rsidRPr="00485A74" w:rsidRDefault="00485A74">
      <w:pPr>
        <w:rPr>
          <w:b/>
        </w:rPr>
      </w:pPr>
      <w:r w:rsidRPr="00485A74">
        <w:rPr>
          <w:b/>
        </w:rPr>
        <w:t>8. References</w:t>
      </w:r>
    </w:p>
    <w:p w14:paraId="7295F2AB" w14:textId="77777777" w:rsidR="00485A74" w:rsidRDefault="00485A74">
      <w:r>
        <w:t>BDB Hebrew and English Lexicon</w:t>
      </w:r>
    </w:p>
    <w:p w14:paraId="6D38049E" w14:textId="77777777" w:rsidR="00485A74" w:rsidRDefault="00485A74">
      <w:r>
        <w:t>HALOT (Hebrew and Aramaic Lexicon of the Old Testament)</w:t>
      </w:r>
    </w:p>
    <w:p w14:paraId="0072E9F0" w14:textId="77777777" w:rsidR="00485A74" w:rsidRDefault="00485A74">
      <w:r>
        <w:t>TWOT (Theological Wordbook of the Old Testament)</w:t>
      </w:r>
    </w:p>
    <w:p w14:paraId="3D5F1225" w14:textId="77777777" w:rsidR="00485A74" w:rsidRDefault="00485A74">
      <w:r>
        <w:t>NIDOTTE (New International Dictionary of Old Testament Theology and Exegesis)</w:t>
      </w:r>
    </w:p>
    <w:p w14:paraId="4FC2BCF1" w14:textId="7A2C2965" w:rsidR="004C5552" w:rsidRDefault="00485A74">
      <w:r>
        <w:t>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A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85A7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1BC8"/>
  <w15:chartTrackingRefBased/>
  <w15:docId w15:val="{35BF41A0-5506-4F49-AEA6-3B5FC9D2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5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5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A74"/>
    <w:rPr>
      <w:rFonts w:eastAsiaTheme="majorEastAsia" w:cstheme="majorBidi"/>
      <w:color w:val="272727" w:themeColor="text1" w:themeTint="D8"/>
    </w:rPr>
  </w:style>
  <w:style w:type="paragraph" w:styleId="Title">
    <w:name w:val="Title"/>
    <w:basedOn w:val="Normal"/>
    <w:next w:val="Normal"/>
    <w:link w:val="TitleChar"/>
    <w:uiPriority w:val="10"/>
    <w:qFormat/>
    <w:rsid w:val="00485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A74"/>
    <w:pPr>
      <w:spacing w:before="160"/>
      <w:jc w:val="center"/>
    </w:pPr>
    <w:rPr>
      <w:i/>
      <w:iCs/>
      <w:color w:val="404040" w:themeColor="text1" w:themeTint="BF"/>
    </w:rPr>
  </w:style>
  <w:style w:type="character" w:customStyle="1" w:styleId="QuoteChar">
    <w:name w:val="Quote Char"/>
    <w:basedOn w:val="DefaultParagraphFont"/>
    <w:link w:val="Quote"/>
    <w:uiPriority w:val="29"/>
    <w:rsid w:val="00485A74"/>
    <w:rPr>
      <w:i/>
      <w:iCs/>
      <w:color w:val="404040" w:themeColor="text1" w:themeTint="BF"/>
    </w:rPr>
  </w:style>
  <w:style w:type="paragraph" w:styleId="ListParagraph">
    <w:name w:val="List Paragraph"/>
    <w:basedOn w:val="Normal"/>
    <w:uiPriority w:val="34"/>
    <w:qFormat/>
    <w:rsid w:val="00485A74"/>
    <w:pPr>
      <w:ind w:left="720"/>
      <w:contextualSpacing/>
    </w:pPr>
  </w:style>
  <w:style w:type="character" w:styleId="IntenseEmphasis">
    <w:name w:val="Intense Emphasis"/>
    <w:basedOn w:val="DefaultParagraphFont"/>
    <w:uiPriority w:val="21"/>
    <w:qFormat/>
    <w:rsid w:val="00485A74"/>
    <w:rPr>
      <w:i/>
      <w:iCs/>
      <w:color w:val="2E74B5" w:themeColor="accent1" w:themeShade="BF"/>
    </w:rPr>
  </w:style>
  <w:style w:type="paragraph" w:styleId="IntenseQuote">
    <w:name w:val="Intense Quote"/>
    <w:basedOn w:val="Normal"/>
    <w:next w:val="Normal"/>
    <w:link w:val="IntenseQuoteChar"/>
    <w:uiPriority w:val="30"/>
    <w:qFormat/>
    <w:rsid w:val="00485A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5A74"/>
    <w:rPr>
      <w:i/>
      <w:iCs/>
      <w:color w:val="2E74B5" w:themeColor="accent1" w:themeShade="BF"/>
    </w:rPr>
  </w:style>
  <w:style w:type="character" w:styleId="IntenseReference">
    <w:name w:val="Intense Reference"/>
    <w:basedOn w:val="DefaultParagraphFont"/>
    <w:uiPriority w:val="32"/>
    <w:qFormat/>
    <w:rsid w:val="00485A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