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4FBE" w14:textId="77777777" w:rsidR="00A80D1B" w:rsidRPr="00A80D1B" w:rsidRDefault="00A80D1B">
      <w:pPr>
        <w:rPr>
          <w:b/>
        </w:rPr>
      </w:pPr>
      <w:r w:rsidRPr="00A80D1B">
        <w:rPr>
          <w:b/>
        </w:rPr>
        <w:t>MERCY SEAT - ( kapporeth , Strong's H3727 )</w:t>
      </w:r>
    </w:p>
    <w:p w14:paraId="22E09124" w14:textId="77777777" w:rsidR="00A80D1B" w:rsidRDefault="00A80D1B">
      <w:r w:rsidRPr="00A80D1B">
        <w:rPr>
          <w:b/>
        </w:rPr>
        <w:t>Summary:</w:t>
      </w:r>
    </w:p>
    <w:p w14:paraId="440D4504" w14:textId="77777777" w:rsidR="00A80D1B" w:rsidRDefault="00A80D1B">
      <w:r>
        <w:t xml:space="preserve">The "mercy seat" (kapporeth) is the solid gold lid or cover placed upon the Ark of the Covenant in the Most Holy Place. Derived from the Hebrew root meaning "to cover, to atone, or to pacify," it was not merely a functional lid but the central place of atonement where the High Priest sprinkled the sacrificial blood on the Day of Atonement (Yom Kippur). Theologically, it represents the meeting place between a holy God and sinful humanity, where the blood of the sacrifice intercepts the judgment of God against the broken Law contained within the Ark. </w:t>
      </w:r>
    </w:p>
    <w:p w14:paraId="23E1BD7D" w14:textId="77777777" w:rsidR="00A80D1B" w:rsidRDefault="00A80D1B"/>
    <w:p w14:paraId="7A719194" w14:textId="77777777" w:rsidR="00A80D1B" w:rsidRDefault="00A80D1B">
      <w:r w:rsidRPr="00A80D1B">
        <w:rPr>
          <w:b/>
        </w:rPr>
        <w:t>Full Study:</w:t>
      </w:r>
    </w:p>
    <w:p w14:paraId="58977C95" w14:textId="77777777" w:rsidR="00A80D1B" w:rsidRDefault="00A80D1B"/>
    <w:p w14:paraId="1B8AD518" w14:textId="77777777" w:rsidR="00A80D1B" w:rsidRPr="00A80D1B" w:rsidRDefault="00A80D1B">
      <w:pPr>
        <w:rPr>
          <w:b/>
        </w:rPr>
      </w:pPr>
      <w:r w:rsidRPr="00A80D1B">
        <w:rPr>
          <w:b/>
        </w:rPr>
        <w:t>1. Word Picture / Background</w:t>
      </w:r>
    </w:p>
    <w:p w14:paraId="3646AD94" w14:textId="77777777" w:rsidR="00A80D1B" w:rsidRDefault="00A80D1B">
      <w:r>
        <w:t>Physically, the kapporeth was a slab of pure gold, measuring two and a half cubits long by one and a half cubits wide (about 45 by 27 inches). It sat directly on top of the Ark of the Covenant. On its ends were two golden cherubim with outstretched wings, their faces bowed toward the seat itself. God declared this specific location—the space above the mercy seat between the cherubim—as His earthly throne and the exact place where He would commune with Israel. It was a place of unapproachable holiness, hidden behind the veil, accessed only once a year by the High Priest carrying the blood of a substitute.</w:t>
      </w:r>
    </w:p>
    <w:p w14:paraId="060212AF" w14:textId="77777777" w:rsidR="00A80D1B" w:rsidRDefault="00A80D1B"/>
    <w:p w14:paraId="007507CE" w14:textId="77777777" w:rsidR="00A80D1B" w:rsidRPr="00A80D1B" w:rsidRDefault="00A80D1B">
      <w:pPr>
        <w:rPr>
          <w:b/>
        </w:rPr>
      </w:pPr>
      <w:r w:rsidRPr="00A80D1B">
        <w:rPr>
          <w:b/>
        </w:rPr>
        <w:t>2. Meaning / Lexical Definition</w:t>
      </w:r>
    </w:p>
    <w:p w14:paraId="0A29499E" w14:textId="77777777" w:rsidR="00A80D1B" w:rsidRDefault="00A80D1B">
      <w:r>
        <w:t xml:space="preserve">The noun kapporeth is formed from the verbal root kaphar (Strong’s H3722), which carries the basic meaning "to cover," but is used almost exclusively in the Old Testament in the theological sense of "to make atonement," "to pacify," or "to propitiate." Therefore, kapporeth literally translates as the "place of covering" or the "instrument of atonement." Rather than using a common Hebrew word for a standard box lid, the biblical text uses this highly specialized noun to indicate its sacred, atoning function. It is a "propitiatory"—a place where wrath is turned away and favor is restored. </w:t>
      </w:r>
    </w:p>
    <w:p w14:paraId="48B58267" w14:textId="77777777" w:rsidR="00A80D1B" w:rsidRDefault="00A80D1B"/>
    <w:p w14:paraId="3C31D257" w14:textId="77777777" w:rsidR="00A80D1B" w:rsidRPr="00A80D1B" w:rsidRDefault="00A80D1B">
      <w:pPr>
        <w:rPr>
          <w:b/>
        </w:rPr>
      </w:pPr>
      <w:r w:rsidRPr="00A80D1B">
        <w:rPr>
          <w:b/>
        </w:rPr>
        <w:t>3. Usage and Word Pictures</w:t>
      </w:r>
    </w:p>
    <w:p w14:paraId="4D8ED520" w14:textId="77777777" w:rsidR="00A80D1B" w:rsidRDefault="00A80D1B">
      <w:r>
        <w:t>• The Golden Cover: It is used 43 times in the Old Testament, entirely in Exodus, Leviticus, Numbers, and 1 Chronicles, always referring to this specific piece of Tabernacle/Temple furniture.</w:t>
      </w:r>
    </w:p>
    <w:p w14:paraId="40419577" w14:textId="77777777" w:rsidR="00A80D1B" w:rsidRDefault="00A80D1B">
      <w:r>
        <w:t>• The Gnadenstuhl: The English phrase "mercy seat" was coined by William Tyndale in 1530. He translated the word by looking at Martin Luther's German translation, Gnadenstuhl, which literally means "seat of grace."</w:t>
      </w:r>
    </w:p>
    <w:p w14:paraId="0A04D2DD" w14:textId="77777777" w:rsidR="00A80D1B" w:rsidRDefault="00A80D1B">
      <w:r>
        <w:t>• The Footstool of God: Scripture often pictures the Lord as "dwelling between the cherubim" (1 Samuel 4:4; Psalm 80:1). The mercy seat functioned as the footstool of God's invisible throne.</w:t>
      </w:r>
    </w:p>
    <w:p w14:paraId="653A1BE5" w14:textId="77777777" w:rsidR="00A80D1B" w:rsidRDefault="00A80D1B"/>
    <w:p w14:paraId="035FBCB8" w14:textId="77777777" w:rsidR="00A80D1B" w:rsidRPr="00A80D1B" w:rsidRDefault="00A80D1B">
      <w:pPr>
        <w:rPr>
          <w:b/>
        </w:rPr>
      </w:pPr>
      <w:r w:rsidRPr="00A80D1B">
        <w:rPr>
          <w:b/>
        </w:rPr>
        <w:t>4. Theological Implications</w:t>
      </w:r>
    </w:p>
    <w:p w14:paraId="1ECDCAAB" w14:textId="77777777" w:rsidR="00A80D1B" w:rsidRDefault="00A80D1B">
      <w:r>
        <w:t xml:space="preserve">The mercy seat offers one of the richest pictures of the gospel in the Old Testament. Inside the Ark were the tablets of the Ten Commandments—the holy Law that humanity has broken, which demands judgment. Above the Ark was the visible presence of a holy God. Without intervention, God's holiness would break out in judgment against the violations of the Law. However, positioned between God's holy presence and the condemning Law was the mercy seat. When the High Priest sprinkled the blood of the sin offering onto the kapporeth, the blood visually and legally "covered" the broken Law. The judgment was averted through a substitute, turning a throne of judgment into a throne of grace. </w:t>
      </w:r>
    </w:p>
    <w:p w14:paraId="008CACEA" w14:textId="77777777" w:rsidR="00A80D1B" w:rsidRDefault="00A80D1B"/>
    <w:p w14:paraId="40C16DA8" w14:textId="77777777" w:rsidR="00A80D1B" w:rsidRDefault="00A80D1B">
      <w:r>
        <w:t>In the New Testament, the Greek translation of the Old Testament (the Septuagint) translated kapporeth with the word hilasterion. In Romans 3:25, the Apostle Paul uses this exact word to describe Jesus Christ, declaring that God set forth Jesus as our hilasterion (propitiation/mercy seat). Jesus Himself is the place of atonement, where His own blood covers our breaking of God’s law.</w:t>
      </w:r>
    </w:p>
    <w:p w14:paraId="12CE8B85" w14:textId="77777777" w:rsidR="00A80D1B" w:rsidRDefault="00A80D1B"/>
    <w:p w14:paraId="43FADA50" w14:textId="77777777" w:rsidR="00A80D1B" w:rsidRPr="00A80D1B" w:rsidRDefault="00A80D1B">
      <w:pPr>
        <w:rPr>
          <w:b/>
        </w:rPr>
      </w:pPr>
      <w:r w:rsidRPr="00A80D1B">
        <w:rPr>
          <w:b/>
        </w:rPr>
        <w:t>5. Contextual Nuance in the Passage</w:t>
      </w:r>
    </w:p>
    <w:p w14:paraId="1C0EAAB2" w14:textId="77777777" w:rsidR="00A80D1B" w:rsidRDefault="00A80D1B">
      <w:r>
        <w:t xml:space="preserve">In Exodus 37:6, the context is the actual construction of the Tabernacle furniture by the craftsman Bezalel. While the Ark itself was made of acacia wood overlaid with gold (Exodus 37:1-2), the mercy seat was forged from a single, solid slab of "pure gold." Wood in the Tabernacle often typifies humanity, while gold represents deity and divine glory. The fact that the kapporeth was exclusively pure gold highlights that atonement is entirely a divine work. Humanity has no part in crafting the grace that covers sin; it rests entirely upon the perfect, pure work of God. </w:t>
      </w:r>
    </w:p>
    <w:p w14:paraId="03B0B937" w14:textId="77777777" w:rsidR="00A80D1B" w:rsidRDefault="00A80D1B"/>
    <w:p w14:paraId="755A0B34" w14:textId="77777777" w:rsidR="00A80D1B" w:rsidRPr="00A80D1B" w:rsidRDefault="00A80D1B">
      <w:pPr>
        <w:rPr>
          <w:b/>
        </w:rPr>
      </w:pPr>
      <w:r w:rsidRPr="00A80D1B">
        <w:rPr>
          <w:b/>
        </w:rPr>
        <w:t>6. Key Uses in Other Verses (NKJV)</w:t>
      </w:r>
    </w:p>
    <w:p w14:paraId="47EA19BE" w14:textId="77777777" w:rsidR="00A80D1B" w:rsidRDefault="00A80D1B">
      <w:r>
        <w:t>• Exodus 25:22 - "And there I will meet with you, and I will speak with you from above the mercy seat, from between the two cherubim which are on the ark of the Testimony..."</w:t>
      </w:r>
    </w:p>
    <w:p w14:paraId="743F964B" w14:textId="77777777" w:rsidR="00A80D1B" w:rsidRDefault="00A80D1B">
      <w:r>
        <w:t>• Leviticus 16:14 - "He shall take some of the blood of the bull and sprinkle it with his finger on the mercy seat on the east side; and before the mercy seat he shall sprinkle some of the blood with his finger seven times."</w:t>
      </w:r>
    </w:p>
    <w:p w14:paraId="35360E46" w14:textId="77777777" w:rsidR="00A80D1B" w:rsidRDefault="00A80D1B">
      <w:r>
        <w:t>• Numbers 7:89 - "Now when Moses went into the tabernacle of meeting to speak with Him, he heard the voice of One speaking to him from above the mercy seat that was on the ark of the Testimony, from between the two cherubim; thus He spoke to him."</w:t>
      </w:r>
    </w:p>
    <w:p w14:paraId="06F8B325" w14:textId="77777777" w:rsidR="00A80D1B" w:rsidRDefault="00A80D1B">
      <w:r>
        <w:t>• 1 Chronicles 28:11 - "Then David gave his son Solomon the plans for the vestibule of its houses... and of the place of the mercy seat;"</w:t>
      </w:r>
    </w:p>
    <w:p w14:paraId="4892987E" w14:textId="77777777" w:rsidR="00A80D1B" w:rsidRDefault="00A80D1B"/>
    <w:p w14:paraId="4703F3A0" w14:textId="77777777" w:rsidR="00A80D1B" w:rsidRPr="00A80D1B" w:rsidRDefault="00A80D1B">
      <w:pPr>
        <w:rPr>
          <w:b/>
        </w:rPr>
      </w:pPr>
      <w:r w:rsidRPr="00A80D1B">
        <w:rPr>
          <w:b/>
        </w:rPr>
        <w:t>7. Other Relevant Insights</w:t>
      </w:r>
    </w:p>
    <w:p w14:paraId="458C4980" w14:textId="77777777" w:rsidR="00A80D1B" w:rsidRDefault="00A80D1B">
      <w:r>
        <w:t>Because the root kaphar can mean both "to cover" (physically) and "to atone" (theologically), there is often a debate about whether kapporeth should simply be translated as "lid." However, the rich ceremonial rituals enacted upon it on the Day of Atonement make it clear that its primary purpose was not merely to close a box, but to serve as the geographical center of Israel's forgiveness. It was the physical location where the wrath of God and the mercy of God met and were reconciled through blood.</w:t>
      </w:r>
    </w:p>
    <w:p w14:paraId="5D8C3688" w14:textId="77777777" w:rsidR="00A80D1B" w:rsidRDefault="00A80D1B"/>
    <w:p w14:paraId="277D04F0" w14:textId="77777777" w:rsidR="00A80D1B" w:rsidRPr="00A80D1B" w:rsidRDefault="00A80D1B">
      <w:pPr>
        <w:rPr>
          <w:b/>
        </w:rPr>
      </w:pPr>
      <w:r w:rsidRPr="00A80D1B">
        <w:rPr>
          <w:b/>
        </w:rPr>
        <w:t>8. References</w:t>
      </w:r>
    </w:p>
    <w:p w14:paraId="159B2946" w14:textId="77777777" w:rsidR="00A80D1B" w:rsidRDefault="00A80D1B">
      <w:r>
        <w:t>• Theological Wordbook of the Old Testament (TWOT)</w:t>
      </w:r>
    </w:p>
    <w:p w14:paraId="7E38C472" w14:textId="77777777" w:rsidR="00A80D1B" w:rsidRDefault="00A80D1B">
      <w:r>
        <w:t>• Brown-Driver-Briggs Hebrew and English Lexicon (BDB)</w:t>
      </w:r>
    </w:p>
    <w:p w14:paraId="2998D99D" w14:textId="77777777" w:rsidR="00A80D1B" w:rsidRDefault="00A80D1B">
      <w:r>
        <w:t>• New International Dictionary of Old Testament Theology and Exegesis (NIDOTTE)</w:t>
      </w:r>
    </w:p>
    <w:p w14:paraId="45DF83EB" w14:textId="77777777" w:rsidR="00A80D1B" w:rsidRDefault="00A80D1B">
      <w:r>
        <w:t>• Hebrew and Aramaic Lexicon of the Old Testament (HALOT)</w:t>
      </w:r>
    </w:p>
    <w:p w14:paraId="6593256B" w14:textId="3A96992E" w:rsidR="004C5552" w:rsidRDefault="00A80D1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80D1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8137"/>
  <w15:chartTrackingRefBased/>
  <w15:docId w15:val="{46167C37-29ED-4736-B3D0-C87C65B5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1B"/>
    <w:rPr>
      <w:rFonts w:eastAsiaTheme="majorEastAsia" w:cstheme="majorBidi"/>
      <w:color w:val="272727" w:themeColor="text1" w:themeTint="D8"/>
    </w:rPr>
  </w:style>
  <w:style w:type="paragraph" w:styleId="Title">
    <w:name w:val="Title"/>
    <w:basedOn w:val="Normal"/>
    <w:next w:val="Normal"/>
    <w:link w:val="TitleChar"/>
    <w:uiPriority w:val="10"/>
    <w:qFormat/>
    <w:rsid w:val="00A80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1B"/>
    <w:pPr>
      <w:spacing w:before="160"/>
      <w:jc w:val="center"/>
    </w:pPr>
    <w:rPr>
      <w:i/>
      <w:iCs/>
      <w:color w:val="404040" w:themeColor="text1" w:themeTint="BF"/>
    </w:rPr>
  </w:style>
  <w:style w:type="character" w:customStyle="1" w:styleId="QuoteChar">
    <w:name w:val="Quote Char"/>
    <w:basedOn w:val="DefaultParagraphFont"/>
    <w:link w:val="Quote"/>
    <w:uiPriority w:val="29"/>
    <w:rsid w:val="00A80D1B"/>
    <w:rPr>
      <w:i/>
      <w:iCs/>
      <w:color w:val="404040" w:themeColor="text1" w:themeTint="BF"/>
    </w:rPr>
  </w:style>
  <w:style w:type="paragraph" w:styleId="ListParagraph">
    <w:name w:val="List Paragraph"/>
    <w:basedOn w:val="Normal"/>
    <w:uiPriority w:val="34"/>
    <w:qFormat/>
    <w:rsid w:val="00A80D1B"/>
    <w:pPr>
      <w:ind w:left="720"/>
      <w:contextualSpacing/>
    </w:pPr>
  </w:style>
  <w:style w:type="character" w:styleId="IntenseEmphasis">
    <w:name w:val="Intense Emphasis"/>
    <w:basedOn w:val="DefaultParagraphFont"/>
    <w:uiPriority w:val="21"/>
    <w:qFormat/>
    <w:rsid w:val="00A80D1B"/>
    <w:rPr>
      <w:i/>
      <w:iCs/>
      <w:color w:val="2E74B5" w:themeColor="accent1" w:themeShade="BF"/>
    </w:rPr>
  </w:style>
  <w:style w:type="paragraph" w:styleId="IntenseQuote">
    <w:name w:val="Intense Quote"/>
    <w:basedOn w:val="Normal"/>
    <w:next w:val="Normal"/>
    <w:link w:val="IntenseQuoteChar"/>
    <w:uiPriority w:val="30"/>
    <w:qFormat/>
    <w:rsid w:val="00A80D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D1B"/>
    <w:rPr>
      <w:i/>
      <w:iCs/>
      <w:color w:val="2E74B5" w:themeColor="accent1" w:themeShade="BF"/>
    </w:rPr>
  </w:style>
  <w:style w:type="character" w:styleId="IntenseReference">
    <w:name w:val="Intense Reference"/>
    <w:basedOn w:val="DefaultParagraphFont"/>
    <w:uiPriority w:val="32"/>
    <w:qFormat/>
    <w:rsid w:val="00A80D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