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DF6A" w14:textId="77777777" w:rsidR="00103856" w:rsidRPr="00103856" w:rsidRDefault="00103856">
      <w:pPr>
        <w:rPr>
          <w:b/>
        </w:rPr>
      </w:pPr>
      <w:r w:rsidRPr="00103856">
        <w:rPr>
          <w:b/>
        </w:rPr>
        <w:t>SCREEN - ( masak , Strong's H4539 )</w:t>
      </w:r>
    </w:p>
    <w:p w14:paraId="1F1B998C" w14:textId="77777777" w:rsidR="00103856" w:rsidRDefault="00103856">
      <w:r w:rsidRPr="00103856">
        <w:rPr>
          <w:b/>
        </w:rPr>
        <w:t>Summary:</w:t>
      </w:r>
    </w:p>
    <w:p w14:paraId="3C3BCA4F" w14:textId="77777777" w:rsidR="00103856" w:rsidRDefault="00103856">
      <w:r>
        <w:t>The Hebrew word masak refers to a protective covering, screen, or hanging used to partition space and restrict access. In the context of the wilderness tabernacle, it specifically denotes the beautiful, multicolored embroidered curtains that served as entryways—first for the Holy Place, and outermost for the gate of the court. As the final barrier between the common world and the sacred courtyard, the screen of the gate (Exodus 38:18) combined majestic beauty with functional exclusion, visually representing both invitation and the necessity of mediation to approach the presence of Yahweh.</w:t>
      </w:r>
    </w:p>
    <w:p w14:paraId="40DA3A7D" w14:textId="77777777" w:rsidR="00103856" w:rsidRDefault="00103856"/>
    <w:p w14:paraId="72F3FE23" w14:textId="77777777" w:rsidR="00103856" w:rsidRDefault="00103856">
      <w:r w:rsidRPr="00103856">
        <w:rPr>
          <w:b/>
        </w:rPr>
        <w:t>Full Study:</w:t>
      </w:r>
    </w:p>
    <w:p w14:paraId="0917BFFC" w14:textId="77777777" w:rsidR="00103856" w:rsidRDefault="00103856"/>
    <w:p w14:paraId="2821F96E" w14:textId="77777777" w:rsidR="00103856" w:rsidRPr="00103856" w:rsidRDefault="00103856">
      <w:pPr>
        <w:rPr>
          <w:b/>
        </w:rPr>
      </w:pPr>
      <w:r w:rsidRPr="00103856">
        <w:rPr>
          <w:b/>
        </w:rPr>
        <w:t>1. Word Picture / Background</w:t>
      </w:r>
    </w:p>
    <w:p w14:paraId="1B635DF8" w14:textId="77777777" w:rsidR="00103856" w:rsidRDefault="00103856">
      <w:r>
        <w:t>The noun masak is derived from the verbal root sakak, which means to hedge in, cover, protect, or screen. The underlying word picture is one of physical protection and deliberate obstruction. It portrays a barrier that shields something precious from public view or unauthorized intrusion. In the ancient Near East, tents of tribal leaders or sacred shrines utilized hanging fabrics to define private, authoritative, or sacred spaces. For Israel, the masak was not a rigid wooden door or stone wall, but a flexible, movable hanging. It allowed entrance to those authorized to enter while serving as a visible, physical boundary marking off holy ground from the profane.</w:t>
      </w:r>
    </w:p>
    <w:p w14:paraId="25028676" w14:textId="77777777" w:rsidR="00103856" w:rsidRDefault="00103856"/>
    <w:p w14:paraId="5EA4259D" w14:textId="77777777" w:rsidR="00103856" w:rsidRPr="00103856" w:rsidRDefault="00103856">
      <w:pPr>
        <w:rPr>
          <w:b/>
        </w:rPr>
      </w:pPr>
      <w:r w:rsidRPr="00103856">
        <w:rPr>
          <w:b/>
        </w:rPr>
        <w:t>2. Meaning / Lexical Definition</w:t>
      </w:r>
    </w:p>
    <w:p w14:paraId="3D26B5C0" w14:textId="77777777" w:rsidR="00103856" w:rsidRDefault="00103856">
      <w:r>
        <w:t>Lexically, masak means a covering, screen, hanging, or curtain. It designates a dividing curtain used as an entrance-screen. The Old Testament distinguishes between three primary textile barriers in the tabernacle complex:</w:t>
      </w:r>
    </w:p>
    <w:p w14:paraId="4726A672" w14:textId="77777777" w:rsidR="00103856" w:rsidRDefault="00103856">
      <w:r>
        <w:t>• The paroket (veil): The inner veil separating the Holy Place from the Most Holy Place.</w:t>
      </w:r>
    </w:p>
    <w:p w14:paraId="05E55C27" w14:textId="77777777" w:rsidR="00103856" w:rsidRDefault="00103856">
      <w:r>
        <w:t>• The masak (screen): The outer hanging for the entrance of the Tabernacle tent (the Holy Place) and the outermost hanging for the gate of the courtyard.</w:t>
      </w:r>
    </w:p>
    <w:p w14:paraId="4D8D8F34" w14:textId="77777777" w:rsidR="00103856" w:rsidRDefault="00103856">
      <w:r>
        <w:t>• The qela'im (hangings): The plain white linen hangings that formed the perimeter walls of the courtyard.</w:t>
      </w:r>
    </w:p>
    <w:p w14:paraId="1CDAAE87" w14:textId="77777777" w:rsidR="00103856" w:rsidRDefault="00103856"/>
    <w:p w14:paraId="33B22351" w14:textId="77777777" w:rsidR="00103856" w:rsidRDefault="00103856">
      <w:r>
        <w:t>While the courtyard walls were plain white linen, the masak at the gate of the court was a highly decorative, embroidered textile of blue, purple, and scarlet yarns woven with fine twisted linen. It functioned as a beautiful gate, signaling the entry point into the sacred compound.</w:t>
      </w:r>
    </w:p>
    <w:p w14:paraId="5F313499" w14:textId="77777777" w:rsidR="00103856" w:rsidRDefault="00103856"/>
    <w:p w14:paraId="284C6AA0" w14:textId="77777777" w:rsidR="00103856" w:rsidRPr="00103856" w:rsidRDefault="00103856">
      <w:pPr>
        <w:rPr>
          <w:b/>
        </w:rPr>
      </w:pPr>
      <w:r w:rsidRPr="00103856">
        <w:rPr>
          <w:b/>
        </w:rPr>
        <w:t>3. Usage and Word Pictures</w:t>
      </w:r>
    </w:p>
    <w:p w14:paraId="136B25AE" w14:textId="77777777" w:rsidR="00103856" w:rsidRDefault="00103856">
      <w:r>
        <w:t>The word masak occurs 25 times in the Hebrew Bible, almost exclusively in the books of Exodus and Numbers in connection with the construction, assembly, and transport of the tabernacle.</w:t>
      </w:r>
    </w:p>
    <w:p w14:paraId="74426365" w14:textId="77777777" w:rsidR="00103856" w:rsidRDefault="00103856">
      <w:r>
        <w:t>• The Tabernacle Entrance Screen: The screen for the doorway of the Tent of Meeting (Exodus 26:36).</w:t>
      </w:r>
    </w:p>
    <w:p w14:paraId="47099633" w14:textId="77777777" w:rsidR="00103856" w:rsidRDefault="00103856">
      <w:r>
        <w:t>• The Courtyard Gate Screen: The screen for the entrance to the outer courtyard (Exodus 38:18).</w:t>
      </w:r>
    </w:p>
    <w:p w14:paraId="7BE80982" w14:textId="77777777" w:rsidR="00103856" w:rsidRDefault="00103856">
      <w:r>
        <w:t>• A Covering of Protection: In a beautiful non-tabernacle usage, the word appears in Psalm 105:39: "He spread a cloud for a covering, and fire to give light in the night." Here, the cloud of God's presence is pictured as a massive protective screen or canopy shielding the traveling Israelites from the scorching desert sun, drawing directly on the tabernacle imagery of divine protection.</w:t>
      </w:r>
    </w:p>
    <w:p w14:paraId="18533E73" w14:textId="77777777" w:rsidR="00103856" w:rsidRDefault="00103856"/>
    <w:p w14:paraId="181E4040" w14:textId="77777777" w:rsidR="00103856" w:rsidRPr="00103856" w:rsidRDefault="00103856">
      <w:pPr>
        <w:rPr>
          <w:b/>
        </w:rPr>
      </w:pPr>
      <w:r w:rsidRPr="00103856">
        <w:rPr>
          <w:b/>
        </w:rPr>
        <w:t>4. Theological Implications</w:t>
      </w:r>
    </w:p>
    <w:p w14:paraId="4735081F" w14:textId="77777777" w:rsidR="00103856" w:rsidRDefault="00103856">
      <w:r>
        <w:t xml:space="preserve">The theological significance of the masak lies in the tension between divine accessibility and holy transcendence. </w:t>
      </w:r>
    </w:p>
    <w:p w14:paraId="1EE1C049" w14:textId="77777777" w:rsidR="00103856" w:rsidRDefault="00103856">
      <w:r>
        <w:t>• Separation and Holiness: God is holy, and sinful humanity cannot approach Him carelessly. The screen served as a visual boundary line. One could not simply wander into the courtyard of the Lord; entrance was restricted and required passing through a single, designated screen.</w:t>
      </w:r>
    </w:p>
    <w:p w14:paraId="431E0C0D" w14:textId="77777777" w:rsidR="00103856" w:rsidRDefault="00103856">
      <w:r>
        <w:t>• A Single, Beautiful Entrance: There was only one gate into the courtyard, and it was marked by this vibrant, multicolored screen. The striking colors (blue, purple, scarlet) contrasted sharply with the surrounding plain white linen hangings of the courtyard. This made the way of approach highly visible and beautiful.</w:t>
      </w:r>
    </w:p>
    <w:p w14:paraId="3A30DF98" w14:textId="77777777" w:rsidR="00103856" w:rsidRDefault="00103856">
      <w:r>
        <w:t>• Typological Connection: In the New Testament, these tabernacle entries point to Jesus Christ. Jesus declares, "I am the door" (John 10:9), and "I am the way, the truth, and the life. No one comes to the Father except through Me" (John 14:6). Just as the beautiful masak was the sole, clearly marked entrance to the place of sacrifice and divine presence, Christ is the exclusive and beautiful entrance through whom humanity can approach a holy God.</w:t>
      </w:r>
    </w:p>
    <w:p w14:paraId="668CA942" w14:textId="77777777" w:rsidR="00103856" w:rsidRDefault="00103856"/>
    <w:p w14:paraId="492AE125" w14:textId="77777777" w:rsidR="00103856" w:rsidRPr="00103856" w:rsidRDefault="00103856">
      <w:pPr>
        <w:rPr>
          <w:b/>
        </w:rPr>
      </w:pPr>
      <w:r w:rsidRPr="00103856">
        <w:rPr>
          <w:b/>
        </w:rPr>
        <w:t>5. Contextual Nuance in the Passage</w:t>
      </w:r>
    </w:p>
    <w:p w14:paraId="6B71E781" w14:textId="77777777" w:rsidR="00103856" w:rsidRDefault="00103856">
      <w:r>
        <w:t xml:space="preserve">In Exodus 38:18, the construction of the screen for the gate of the court is described under the supervision of Bezalel and Oholiab. The court gate screen was twenty cubits (about 30 feet) wide, matching the height of the courtyard hangings (five cubits, or about 7.5 feet). </w:t>
      </w:r>
    </w:p>
    <w:p w14:paraId="686DE25F" w14:textId="77777777" w:rsidR="00103856" w:rsidRDefault="00103856">
      <w:r>
        <w:t>• Vibrant Visibility: The screen's massive width and brilliant colors made the entrance impossible to miss. It was a gracious invitation to the Israelite worshiper.</w:t>
      </w:r>
    </w:p>
    <w:p w14:paraId="61EE21A6" w14:textId="77777777" w:rsidR="00103856" w:rsidRDefault="00103856">
      <w:r>
        <w:t>• Security and Structure: Although made of fabric, the screen was securely suspended on four pillars with bronze sockets, silver hooks, and silver bands (Exodus 38:19). It was sturdy enough to withstand wilderness winds while remaining flexible enough to be raised or set aside for the priests entering to perform sacrifices.</w:t>
      </w:r>
    </w:p>
    <w:p w14:paraId="28574959" w14:textId="77777777" w:rsidR="00103856" w:rsidRDefault="00103856">
      <w:r>
        <w:t>• Woven Craftsmanship: The term used for its fabrication is roqem (needlework or embroidery), indicating a rich, textured surface that conveyed the royalty and majesty of the King who dwelt within the tent.</w:t>
      </w:r>
    </w:p>
    <w:p w14:paraId="68ABC71B" w14:textId="77777777" w:rsidR="00103856" w:rsidRDefault="00103856"/>
    <w:p w14:paraId="6FA338D9" w14:textId="77777777" w:rsidR="00103856" w:rsidRPr="00103856" w:rsidRDefault="00103856">
      <w:pPr>
        <w:rPr>
          <w:b/>
        </w:rPr>
      </w:pPr>
      <w:r w:rsidRPr="00103856">
        <w:rPr>
          <w:b/>
        </w:rPr>
        <w:t>6. Key Uses in Other Verses (NKJV)</w:t>
      </w:r>
    </w:p>
    <w:p w14:paraId="283F376F" w14:textId="77777777" w:rsidR="00103856" w:rsidRDefault="00103856">
      <w:r>
        <w:t>• Exodus 26:36: "You shall make a screen for the door of the tabernacle, woven of blue, purple, and scarlet thread, and fine woven linen, made by an embroiderer."</w:t>
      </w:r>
    </w:p>
    <w:p w14:paraId="21E1A9C7" w14:textId="77777777" w:rsidR="00103856" w:rsidRDefault="00103856">
      <w:r>
        <w:t>• Exodus 35:15: "the incense altar, its poles, the anointing oil, the sweet incense, and the screen for the door at the entrance of the tabernacle;"</w:t>
      </w:r>
    </w:p>
    <w:p w14:paraId="28D16511" w14:textId="77777777" w:rsidR="00103856" w:rsidRDefault="00103856">
      <w:r>
        <w:t>• Exodus 39:40: "the hangings of the court, its pillars and its sockets, the screen for the court gate, its cords, and its pegs; all the utensils for the service of the tabernacle, for the tent of meeting;"</w:t>
      </w:r>
    </w:p>
    <w:p w14:paraId="4A62B276" w14:textId="77777777" w:rsidR="00103856" w:rsidRDefault="00103856">
      <w:r>
        <w:t>• Numbers 3:25: "The duties of the children of Gershon in the tabernacle of meeting included the tabernacle, the tent with its covering, the screen for the door of the tabernacle of meeting,"</w:t>
      </w:r>
    </w:p>
    <w:p w14:paraId="13313A94" w14:textId="77777777" w:rsidR="00103856" w:rsidRDefault="00103856">
      <w:r>
        <w:t>• Psalm 105:39: "He spread a cloud for a covering, and fire to give light in the night."</w:t>
      </w:r>
    </w:p>
    <w:p w14:paraId="57AB34A3" w14:textId="77777777" w:rsidR="00103856" w:rsidRDefault="00103856"/>
    <w:p w14:paraId="08C534D0" w14:textId="77777777" w:rsidR="00103856" w:rsidRPr="00103856" w:rsidRDefault="00103856">
      <w:pPr>
        <w:rPr>
          <w:b/>
        </w:rPr>
      </w:pPr>
      <w:r w:rsidRPr="00103856">
        <w:rPr>
          <w:b/>
        </w:rPr>
        <w:t>7. Other Relevant Insights</w:t>
      </w:r>
    </w:p>
    <w:p w14:paraId="6F9160E7" w14:textId="77777777" w:rsidR="00103856" w:rsidRDefault="00103856">
      <w:r>
        <w:t xml:space="preserve">The colors of the screen held deep symbolic significance in biblical theology. </w:t>
      </w:r>
    </w:p>
    <w:p w14:paraId="17B135A3" w14:textId="77777777" w:rsidR="00103856" w:rsidRDefault="00103856">
      <w:r>
        <w:t>• Blue (tekelet) represented the heavens and the dwelling place of God.</w:t>
      </w:r>
    </w:p>
    <w:p w14:paraId="76901379" w14:textId="77777777" w:rsidR="00103856" w:rsidRDefault="00103856">
      <w:r>
        <w:t>• Purple (argaman) was the color of royalty, wealth, and imperial majesty.</w:t>
      </w:r>
    </w:p>
    <w:p w14:paraId="0D1F2BC6" w14:textId="77777777" w:rsidR="00103856" w:rsidRDefault="00103856">
      <w:r>
        <w:t>• Scarlet (tola'at shani) symbolized life, blood, and sacrifice.</w:t>
      </w:r>
    </w:p>
    <w:p w14:paraId="2BDACA89" w14:textId="77777777" w:rsidR="00103856" w:rsidRDefault="00103856"/>
    <w:p w14:paraId="7C60FF3B" w14:textId="77777777" w:rsidR="00103856" w:rsidRDefault="00103856">
      <w:r>
        <w:t>Combined with the fine white linen (representing purity and righteousness), the screen at the gate of the court preached a silent sermon to every worshiper approaching with an offering: they were entering the royal courtyard of the heavenly King, a place of purity that could only be accessed through the shedding of blood.</w:t>
      </w:r>
    </w:p>
    <w:p w14:paraId="33390A1B" w14:textId="77777777" w:rsidR="00103856" w:rsidRDefault="00103856"/>
    <w:p w14:paraId="3C12E13F" w14:textId="77777777" w:rsidR="00103856" w:rsidRPr="00103856" w:rsidRDefault="00103856">
      <w:pPr>
        <w:rPr>
          <w:b/>
        </w:rPr>
      </w:pPr>
      <w:r w:rsidRPr="00103856">
        <w:rPr>
          <w:b/>
        </w:rPr>
        <w:t>8. References</w:t>
      </w:r>
    </w:p>
    <w:p w14:paraId="387E3B27" w14:textId="77777777" w:rsidR="00103856" w:rsidRDefault="00103856">
      <w:r>
        <w:t>• Brown, F., Driver, S. R., &amp; Briggs, C. A. Hebrew and English Lexicon of the Old Testament.</w:t>
      </w:r>
    </w:p>
    <w:p w14:paraId="1265625D" w14:textId="77777777" w:rsidR="00103856" w:rsidRDefault="00103856">
      <w:r>
        <w:t>• Koehler, L., Baumgartner, W., &amp; Stamm, J. J. The Hebrew and Aramaic Lexicon of the Old Testament.</w:t>
      </w:r>
    </w:p>
    <w:p w14:paraId="50F5847E" w14:textId="77777777" w:rsidR="00103856" w:rsidRDefault="00103856">
      <w:r>
        <w:t>• Harris, R. L., Archer, G. L., &amp; Waltke, B. K. Theological Wordbook of the Old Testament.</w:t>
      </w:r>
    </w:p>
    <w:p w14:paraId="7DDC06B7" w14:textId="77777777" w:rsidR="00103856" w:rsidRDefault="00103856">
      <w:r>
        <w:t>• VanGemeren, W. A. New International Dictionary of Old Testament Theology and Exegesis.</w:t>
      </w:r>
    </w:p>
    <w:p w14:paraId="7C106333" w14:textId="3693EBBC" w:rsidR="004C5552" w:rsidRDefault="00103856">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56"/>
    <w:rsid w:val="00017747"/>
    <w:rsid w:val="00023A4A"/>
    <w:rsid w:val="0006763F"/>
    <w:rsid w:val="000C53AC"/>
    <w:rsid w:val="0010385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02A9"/>
  <w15:chartTrackingRefBased/>
  <w15:docId w15:val="{92F21778-BC0D-4A69-A4DF-04217CE5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856"/>
    <w:rPr>
      <w:rFonts w:eastAsiaTheme="majorEastAsia" w:cstheme="majorBidi"/>
      <w:color w:val="272727" w:themeColor="text1" w:themeTint="D8"/>
    </w:rPr>
  </w:style>
  <w:style w:type="paragraph" w:styleId="Title">
    <w:name w:val="Title"/>
    <w:basedOn w:val="Normal"/>
    <w:next w:val="Normal"/>
    <w:link w:val="TitleChar"/>
    <w:uiPriority w:val="10"/>
    <w:qFormat/>
    <w:rsid w:val="0010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856"/>
    <w:pPr>
      <w:spacing w:before="160"/>
      <w:jc w:val="center"/>
    </w:pPr>
    <w:rPr>
      <w:i/>
      <w:iCs/>
      <w:color w:val="404040" w:themeColor="text1" w:themeTint="BF"/>
    </w:rPr>
  </w:style>
  <w:style w:type="character" w:customStyle="1" w:styleId="QuoteChar">
    <w:name w:val="Quote Char"/>
    <w:basedOn w:val="DefaultParagraphFont"/>
    <w:link w:val="Quote"/>
    <w:uiPriority w:val="29"/>
    <w:rsid w:val="00103856"/>
    <w:rPr>
      <w:i/>
      <w:iCs/>
      <w:color w:val="404040" w:themeColor="text1" w:themeTint="BF"/>
    </w:rPr>
  </w:style>
  <w:style w:type="paragraph" w:styleId="ListParagraph">
    <w:name w:val="List Paragraph"/>
    <w:basedOn w:val="Normal"/>
    <w:uiPriority w:val="34"/>
    <w:qFormat/>
    <w:rsid w:val="00103856"/>
    <w:pPr>
      <w:ind w:left="720"/>
      <w:contextualSpacing/>
    </w:pPr>
  </w:style>
  <w:style w:type="character" w:styleId="IntenseEmphasis">
    <w:name w:val="Intense Emphasis"/>
    <w:basedOn w:val="DefaultParagraphFont"/>
    <w:uiPriority w:val="21"/>
    <w:qFormat/>
    <w:rsid w:val="00103856"/>
    <w:rPr>
      <w:i/>
      <w:iCs/>
      <w:color w:val="2E74B5" w:themeColor="accent1" w:themeShade="BF"/>
    </w:rPr>
  </w:style>
  <w:style w:type="paragraph" w:styleId="IntenseQuote">
    <w:name w:val="Intense Quote"/>
    <w:basedOn w:val="Normal"/>
    <w:next w:val="Normal"/>
    <w:link w:val="IntenseQuoteChar"/>
    <w:uiPriority w:val="30"/>
    <w:qFormat/>
    <w:rsid w:val="001038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3856"/>
    <w:rPr>
      <w:i/>
      <w:iCs/>
      <w:color w:val="2E74B5" w:themeColor="accent1" w:themeShade="BF"/>
    </w:rPr>
  </w:style>
  <w:style w:type="character" w:styleId="IntenseReference">
    <w:name w:val="Intense Reference"/>
    <w:basedOn w:val="DefaultParagraphFont"/>
    <w:uiPriority w:val="32"/>
    <w:qFormat/>
    <w:rsid w:val="001038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