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Default Extension="png" ContentType="image/png"/>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comments.xml" ContentType="application/vnd.openxmlformats-officedocument.wordprocessingml.comments+xml"/>
  <Override PartName="/word/commentsExtended.xml" ContentType="application/vnd.openxmlformats-officedocument.wordprocessingml.commentsExtended+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d8021cf4a41c4e93" /><Relationship Type="http://schemas.openxmlformats.org/package/2006/relationships/metadata/core-properties" Target="package/services/metadata/core-properties/15aa902bf8af46748c5e0f75f91f10dc.psmdcp" Id="Rad79c0db723d46bf"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P="654048B6" w:rsidRDefault="00000000" w14:paraId="00000001"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rPr>
          <w:rFonts w:ascii="Arial" w:hAnsi="Arial" w:eastAsia="Arial" w:cs="Arial"/>
          <w:b w:val="0"/>
          <w:bCs w:val="0"/>
          <w:i w:val="0"/>
          <w:iCs w:val="0"/>
          <w:caps w:val="0"/>
          <w:smallCaps w:val="0"/>
          <w:strike w:val="0"/>
          <w:dstrike w:val="0"/>
          <w:color w:val="000000"/>
          <w:sz w:val="22"/>
          <w:szCs w:val="22"/>
          <w:u w:val="none"/>
          <w:shd w:val="clear" w:fill="auto"/>
          <w:vertAlign w:val="baseline"/>
        </w:rPr>
      </w:pPr>
      <w:commentRangeStart w:id="225944546"/>
      <w:commentRangeEnd w:id="225944546"/>
      <w:r>
        <w:rPr>
          <w:rStyle w:val="CommentReference"/>
        </w:rPr>
        <w:commentReference w:id="225944546"/>
      </w:r>
    </w:p>
    <w:tbl>
      <w:tblPr>
        <w:tblW w:w="9820" w:type="dxa"/>
        <w:jc w:val="left"/>
        <w:tblLayout w:type="fixed"/>
        <w:tblLook w:val="0000" w:firstRow="0" w:lastRow="0" w:firstColumn="0" w:lastColumn="0" w:noHBand="0" w:noVBand="0"/>
        <w:tblPrChange w:author="" w:id="1955417747">
          <w:tblPr/>
        </w:tblPrChange>
      </w:tblPr>
      <w:tblGrid>
        <w:gridCol w:w="3271"/>
        <w:gridCol w:w="3273"/>
        <w:gridCol w:w="3276"/>
        <w:tblGridChange w:id="1224288816">
          <w:tblGrid>
            <w:gridCol w:w="3271"/>
            <w:gridCol w:w="3273"/>
            <w:gridCol w:w="3276"/>
          </w:tblGrid>
        </w:tblGridChange>
      </w:tblGrid>
      <w:tr xmlns:wp14="http://schemas.microsoft.com/office/word/2010/wordml" w:rsidTr="4A7CC396" w14:paraId="48161B50" wp14:textId="77777777">
        <w:trPr>
          <w:cantSplit w:val="0"/>
          <w:tblHeader w:val="0"/>
        </w:trPr>
        <w:tc>
          <w:tcPr>
            <w:gridSpan w:val="3"/>
            <w:tcBorders>
              <w:bottom w:val="none" w:color="000000" w:themeColor="text1" w:sz="12"/>
            </w:tcBorders>
            <w:tcMar/>
          </w:tcPr>
          <w:bookmarkStart w:name="bookmark=id.puv0podmfqn8" w:colFirst="0" w:colLast="0" w:id="1687702198"/>
          <w:bookmarkEnd w:id="1687702198"/>
          <w:p w:rsidR="2FE08D99" w:rsidP="5C222896" w:rsidRDefault="2FE08D99" w14:paraId="3007DFB7" w14:textId="2078EBF0">
            <w:pPr>
              <w:pStyle w:val="Normal"/>
              <w:jc w:val="center"/>
              <w:rPr>
                <w:rFonts w:ascii="Times New Roman" w:hAnsi="Times New Roman" w:eastAsia="Times New Roman" w:cs="Times New Roman"/>
                <w:noProof w:val="0"/>
                <w:sz w:val="48"/>
                <w:szCs w:val="48"/>
                <w:lang w:val="en"/>
              </w:rPr>
            </w:pPr>
            <w:r w:rsidRPr="618B2505" w:rsidR="28A15585">
              <w:rPr>
                <w:rFonts w:ascii="Times New Roman" w:hAnsi="Times New Roman" w:eastAsia="Times New Roman" w:cs="Times New Roman"/>
                <w:noProof w:val="0"/>
                <w:sz w:val="48"/>
                <w:szCs w:val="48"/>
                <w:lang w:val="en"/>
              </w:rPr>
              <w:t>AI-Driven Cybersecurity Maturity Assessment and Framework Mapping</w:t>
            </w:r>
            <w:r w:rsidRPr="618B2505" w:rsidR="275DE865">
              <w:rPr>
                <w:rFonts w:ascii="Times New Roman" w:hAnsi="Times New Roman" w:eastAsia="Times New Roman" w:cs="Times New Roman"/>
                <w:noProof w:val="0"/>
                <w:sz w:val="48"/>
                <w:szCs w:val="48"/>
                <w:lang w:val="en"/>
              </w:rPr>
              <w:t xml:space="preserve"> (Version </w:t>
            </w:r>
            <w:r w:rsidRPr="618B2505" w:rsidR="76544BC0">
              <w:rPr>
                <w:rFonts w:ascii="Times New Roman" w:hAnsi="Times New Roman" w:eastAsia="Times New Roman" w:cs="Times New Roman"/>
                <w:noProof w:val="0"/>
                <w:sz w:val="48"/>
                <w:szCs w:val="48"/>
                <w:lang w:val="en"/>
              </w:rPr>
              <w:t>5</w:t>
            </w:r>
            <w:r w:rsidRPr="618B2505" w:rsidR="275DE865">
              <w:rPr>
                <w:rFonts w:ascii="Times New Roman" w:hAnsi="Times New Roman" w:eastAsia="Times New Roman" w:cs="Times New Roman"/>
                <w:noProof w:val="0"/>
                <w:sz w:val="48"/>
                <w:szCs w:val="48"/>
                <w:lang w:val="en"/>
              </w:rPr>
              <w:t>)</w:t>
            </w:r>
          </w:p>
          <w:p w:rsidRDefault="00000000" w14:paraId="00000003" wp14:textId="77777777">
            <w:pPr>
              <w:rPr/>
            </w:pPr>
            <w:r>
              <w:rPr>
                <w:rtl w:val="0"/>
              </w:rPr>
            </w:r>
          </w:p>
        </w:tc>
      </w:tr>
      <w:tr xmlns:wp14="http://schemas.microsoft.com/office/word/2010/wordml" w:rsidTr="4A7CC396" w14:paraId="24171ACF" wp14:textId="77777777">
        <w:trPr>
          <w:cantSplit w:val="0"/>
          <w:tblHeader w:val="0"/>
        </w:trPr>
        <w:tc>
          <w:tcPr>
            <w:tcBorders>
              <w:top w:val="none" w:color="000000" w:themeColor="text1" w:sz="12"/>
              <w:left w:val="none" w:color="000000" w:themeColor="text1" w:sz="12"/>
              <w:bottom w:val="none" w:color="000000" w:themeColor="text1" w:sz="12"/>
              <w:right w:val="none" w:color="000000" w:themeColor="text1" w:sz="12"/>
            </w:tcBorders>
            <w:tcMar/>
          </w:tcPr>
          <w:bookmarkStart w:name="bookmark=id.4nkrhlau6h1m" w:colFirst="0" w:colLast="0" w:id="1"/>
          <w:bookmarkEnd w:id="1"/>
          <w:p w:rsidP="4A7CC396" w:rsidRDefault="00000000" w14:paraId="00000006" wp14:textId="396145B2">
            <w:pPr>
              <w:pStyle w:val="Normal"/>
              <w:keepNext w:val="0"/>
              <w:keepLines w:val="0"/>
              <w:pageBreakBefore w:val="0"/>
              <w:widowControl w:val="0"/>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240" w:afterAutospacing="off" w:line="240" w:lineRule="auto"/>
              <w:ind w:left="0" w:right="0"/>
              <w:jc w:val="center"/>
              <w:rPr>
                <w:rFonts w:ascii="Times New Roman" w:hAnsi="Times New Roman" w:eastAsia="Times New Roman" w:cs="Times New Roman"/>
                <w:noProof w:val="0"/>
                <w:color w:val="000000"/>
                <w:sz w:val="24"/>
                <w:szCs w:val="24"/>
                <w:shd w:val="clear" w:fill="auto"/>
                <w:lang w:val="en"/>
              </w:rPr>
            </w:pPr>
            <w:r w:rsidRPr="654048B6" w:rsidR="3862AC3D">
              <w:rPr>
                <w:shd w:val="clear" w:fill="auto"/>
              </w:rPr>
              <w:t xml:space="preserve">￼</w:t>
            </w:r>
            <w:r w:rsidRPr="6F0FB94D" w:rsidR="00A9DBCF">
              <w:rPr>
                <w:rFonts w:ascii="Times New Roman" w:hAnsi="Times New Roman" w:eastAsia="Times New Roman" w:cs="Times New Roman"/>
                <w:noProof w:val="0"/>
                <w:color w:val="000000" w:themeColor="text1" w:themeTint="FF" w:themeShade="FF"/>
                <w:sz w:val="24"/>
                <w:szCs w:val="24"/>
                <w:lang w:val="en"/>
              </w:rPr>
              <w:t>Prof. Karen Schnell</w:t>
            </w:r>
            <w:r>
              <w:br/>
            </w:r>
            <w:r w:rsidRPr="4A7CC396" w:rsidR="4BC17EF7">
              <w:rPr>
                <w:rFonts w:ascii="Times New Roman" w:hAnsi="Times New Roman" w:eastAsia="Times New Roman" w:cs="Times New Roman"/>
                <w:i w:val="1"/>
                <w:iCs w:val="1"/>
                <w:noProof w:val="0"/>
                <w:color w:val="000000" w:themeColor="text1" w:themeTint="FF" w:themeShade="FF"/>
                <w:sz w:val="24"/>
                <w:szCs w:val="24"/>
                <w:lang w:val="en"/>
              </w:rPr>
              <w:t>Duke University</w:t>
            </w:r>
            <w:r>
              <w:br/>
            </w:r>
            <w:r w:rsidRPr="618B2505" w:rsidR="4A4F395A">
              <w:rPr>
                <w:rFonts w:ascii="Times New Roman" w:hAnsi="Times New Roman" w:eastAsia="Times New Roman" w:cs="Times New Roman"/>
                <w:noProof w:val="0"/>
                <w:color w:val="000000" w:themeColor="text1" w:themeTint="FF" w:themeShade="FF"/>
                <w:sz w:val="24"/>
                <w:szCs w:val="24"/>
                <w:lang w:val="en"/>
              </w:rPr>
              <w:t>karen.schnell</w:t>
            </w:r>
            <w:r w:rsidRPr="4A7CC396" w:rsidR="14EE6E04">
              <w:rPr>
                <w:rFonts w:ascii="Times New Roman" w:hAnsi="Times New Roman" w:eastAsia="Times New Roman" w:cs="Times New Roman"/>
                <w:noProof w:val="0"/>
                <w:color w:val="000000" w:themeColor="text1" w:themeTint="FF" w:themeShade="FF"/>
                <w:sz w:val="24"/>
                <w:szCs w:val="24"/>
                <w:lang w:val="en"/>
              </w:rPr>
              <w:t>@</w:t>
            </w:r>
            <w:r w:rsidRPr="4A7CC396" w:rsidR="6FD9CE6D">
              <w:rPr>
                <w:rFonts w:ascii="Times New Roman" w:hAnsi="Times New Roman" w:eastAsia="Times New Roman" w:cs="Times New Roman"/>
                <w:noProof w:val="0"/>
                <w:color w:val="000000" w:themeColor="text1" w:themeTint="FF" w:themeShade="FF"/>
                <w:sz w:val="24"/>
                <w:szCs w:val="24"/>
                <w:lang w:val="en"/>
              </w:rPr>
              <w:t>duke</w:t>
            </w:r>
            <w:r w:rsidRPr="4A7CC396" w:rsidR="14EE6E04">
              <w:rPr>
                <w:rFonts w:ascii="Times New Roman" w:hAnsi="Times New Roman" w:eastAsia="Times New Roman" w:cs="Times New Roman"/>
                <w:noProof w:val="0"/>
                <w:color w:val="000000" w:themeColor="text1" w:themeTint="FF" w:themeShade="FF"/>
                <w:sz w:val="24"/>
                <w:szCs w:val="24"/>
                <w:lang w:val="en"/>
              </w:rPr>
              <w:t>.</w:t>
            </w:r>
            <w:r w:rsidRPr="4A7CC396" w:rsidR="00EEE6F0">
              <w:rPr>
                <w:rFonts w:ascii="Times New Roman" w:hAnsi="Times New Roman" w:eastAsia="Times New Roman" w:cs="Times New Roman"/>
                <w:noProof w:val="0"/>
                <w:color w:val="000000" w:themeColor="text1" w:themeTint="FF" w:themeShade="FF"/>
                <w:sz w:val="24"/>
                <w:szCs w:val="24"/>
                <w:lang w:val="en"/>
              </w:rPr>
              <w:t>edu</w:t>
            </w:r>
          </w:p>
        </w:tc>
        <w:tc>
          <w:tcPr>
            <w:tcBorders>
              <w:top w:val="none" w:color="000000" w:themeColor="text1" w:sz="12"/>
              <w:left w:val="none" w:color="000000" w:themeColor="text1" w:sz="12"/>
              <w:bottom w:val="none" w:color="000000" w:themeColor="text1" w:sz="12"/>
              <w:right w:val="none" w:color="000000" w:themeColor="text1" w:sz="12"/>
            </w:tcBorders>
            <w:tcMar/>
          </w:tcPr>
          <w:p w:rsidP="4A7CC396" w:rsidRDefault="00000000" w14:paraId="00000007" wp14:textId="1ED14C03">
            <w:pPr>
              <w:pStyle w:val="Normal"/>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pacing w:before="0" w:after="240" w:line="240" w:lineRule="auto"/>
              <w:ind/>
              <w:jc w:val="center"/>
              <w:rPr>
                <w:rFonts w:ascii="Times New Roman" w:hAnsi="Times New Roman" w:eastAsia="Times New Roman" w:cs="Times New Roman"/>
                <w:noProof w:val="0"/>
                <w:color w:val="000000"/>
                <w:sz w:val="24"/>
                <w:szCs w:val="24"/>
                <w:shd w:val="clear" w:fill="auto"/>
                <w:lang w:val="en"/>
              </w:rPr>
            </w:pPr>
            <w:r w:rsidRPr="4A7CC396" w:rsidR="0C068224">
              <w:rPr>
                <w:rFonts w:ascii="Times New Roman" w:hAnsi="Times New Roman" w:eastAsia="Times New Roman" w:cs="Times New Roman"/>
                <w:noProof w:val="0"/>
                <w:color w:val="000000" w:themeColor="text1" w:themeTint="FF" w:themeShade="FF"/>
                <w:sz w:val="24"/>
                <w:szCs w:val="24"/>
                <w:lang w:val="en"/>
              </w:rPr>
              <w:t>A</w:t>
            </w:r>
            <w:r w:rsidRPr="4A7CC396" w:rsidR="425BEC85">
              <w:rPr>
                <w:rFonts w:ascii="Times New Roman" w:hAnsi="Times New Roman" w:eastAsia="Times New Roman" w:cs="Times New Roman"/>
                <w:noProof w:val="0"/>
                <w:color w:val="000000" w:themeColor="text1" w:themeTint="FF" w:themeShade="FF"/>
                <w:sz w:val="24"/>
                <w:szCs w:val="24"/>
                <w:lang w:val="en"/>
              </w:rPr>
              <w:t>mal</w:t>
            </w:r>
            <w:r w:rsidRPr="4A7CC396" w:rsidR="0C068224">
              <w:rPr>
                <w:rFonts w:ascii="Times New Roman" w:hAnsi="Times New Roman" w:eastAsia="Times New Roman" w:cs="Times New Roman"/>
                <w:noProof w:val="0"/>
                <w:color w:val="000000" w:themeColor="text1" w:themeTint="FF" w:themeShade="FF"/>
                <w:sz w:val="24"/>
                <w:szCs w:val="24"/>
                <w:lang w:val="en"/>
              </w:rPr>
              <w:t xml:space="preserve"> </w:t>
            </w:r>
            <w:r w:rsidRPr="4A7CC396" w:rsidR="5CB5E331">
              <w:rPr>
                <w:rFonts w:ascii="Times New Roman" w:hAnsi="Times New Roman" w:eastAsia="Times New Roman" w:cs="Times New Roman"/>
                <w:noProof w:val="0"/>
                <w:color w:val="000000" w:themeColor="text1" w:themeTint="FF" w:themeShade="FF"/>
                <w:sz w:val="24"/>
                <w:szCs w:val="24"/>
                <w:lang w:val="en"/>
              </w:rPr>
              <w:t>Jadoon</w:t>
            </w:r>
            <w:r>
              <w:br/>
            </w:r>
            <w:r w:rsidRPr="4A7CC396" w:rsidR="459C23A9">
              <w:rPr>
                <w:rFonts w:ascii="Times New Roman" w:hAnsi="Times New Roman" w:eastAsia="Times New Roman" w:cs="Times New Roman"/>
                <w:i w:val="1"/>
                <w:iCs w:val="1"/>
                <w:noProof w:val="0"/>
                <w:color w:val="000000" w:themeColor="text1" w:themeTint="FF" w:themeShade="FF"/>
                <w:sz w:val="24"/>
                <w:szCs w:val="24"/>
                <w:lang w:val="en"/>
              </w:rPr>
              <w:t>Duke University</w:t>
            </w:r>
            <w:r>
              <w:br/>
            </w:r>
            <w:r w:rsidRPr="4A7CC396" w:rsidR="6CD9E754">
              <w:rPr>
                <w:rFonts w:ascii="Times New Roman" w:hAnsi="Times New Roman" w:eastAsia="Times New Roman" w:cs="Times New Roman"/>
                <w:noProof w:val="0"/>
                <w:color w:val="000000" w:themeColor="text1" w:themeTint="FF" w:themeShade="FF"/>
                <w:sz w:val="24"/>
                <w:szCs w:val="24"/>
                <w:lang w:val="en"/>
              </w:rPr>
              <w:t>amal.jadoon</w:t>
            </w:r>
            <w:r w:rsidRPr="4A7CC396" w:rsidR="0C068224">
              <w:rPr>
                <w:rFonts w:ascii="Times New Roman" w:hAnsi="Times New Roman" w:eastAsia="Times New Roman" w:cs="Times New Roman"/>
                <w:noProof w:val="0"/>
                <w:color w:val="000000" w:themeColor="text1" w:themeTint="FF" w:themeShade="FF"/>
                <w:sz w:val="24"/>
                <w:szCs w:val="24"/>
                <w:lang w:val="en"/>
              </w:rPr>
              <w:t>@</w:t>
            </w:r>
            <w:r w:rsidRPr="4A7CC396" w:rsidR="47767DB6">
              <w:rPr>
                <w:rFonts w:ascii="Times New Roman" w:hAnsi="Times New Roman" w:eastAsia="Times New Roman" w:cs="Times New Roman"/>
                <w:noProof w:val="0"/>
                <w:color w:val="000000" w:themeColor="text1" w:themeTint="FF" w:themeShade="FF"/>
                <w:sz w:val="24"/>
                <w:szCs w:val="24"/>
                <w:lang w:val="en"/>
              </w:rPr>
              <w:t>duke</w:t>
            </w:r>
            <w:r w:rsidRPr="4A7CC396" w:rsidR="0C068224">
              <w:rPr>
                <w:rFonts w:ascii="Times New Roman" w:hAnsi="Times New Roman" w:eastAsia="Times New Roman" w:cs="Times New Roman"/>
                <w:noProof w:val="0"/>
                <w:color w:val="000000" w:themeColor="text1" w:themeTint="FF" w:themeShade="FF"/>
                <w:sz w:val="24"/>
                <w:szCs w:val="24"/>
                <w:lang w:val="en"/>
              </w:rPr>
              <w:t>.</w:t>
            </w:r>
            <w:r w:rsidRPr="4A7CC396" w:rsidR="6971A873">
              <w:rPr>
                <w:rFonts w:ascii="Times New Roman" w:hAnsi="Times New Roman" w:eastAsia="Times New Roman" w:cs="Times New Roman"/>
                <w:noProof w:val="0"/>
                <w:color w:val="000000" w:themeColor="text1" w:themeTint="FF" w:themeShade="FF"/>
                <w:sz w:val="24"/>
                <w:szCs w:val="24"/>
                <w:lang w:val="en"/>
              </w:rPr>
              <w:t>edu</w:t>
            </w:r>
          </w:p>
        </w:tc>
        <w:tc>
          <w:tcPr>
            <w:tcBorders>
              <w:top w:val="none" w:color="000000" w:themeColor="text1" w:sz="12"/>
              <w:left w:val="none" w:color="000000" w:themeColor="text1" w:sz="12"/>
              <w:bottom w:val="none" w:color="000000" w:themeColor="text1" w:sz="12"/>
              <w:right w:val="none" w:color="000000" w:themeColor="text1" w:sz="12"/>
            </w:tcBorders>
            <w:tcMar/>
          </w:tcPr>
          <w:p w:rsidP="4A7CC396" w:rsidRDefault="00000000" w14:paraId="00000008" wp14:textId="5A0F4799">
            <w:pPr>
              <w:pStyle w:val="Normal"/>
              <w:keepNext w:val="0"/>
              <w:keepLines w:val="0"/>
              <w:widowControl w:val="0"/>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240" w:afterAutospacing="off" w:line="240" w:lineRule="auto"/>
              <w:ind w:left="0" w:right="0"/>
              <w:jc w:val="center"/>
              <w:rPr>
                <w:rFonts w:ascii="Times New Roman" w:hAnsi="Times New Roman" w:eastAsia="Times New Roman" w:cs="Times New Roman"/>
                <w:noProof w:val="0"/>
                <w:color w:val="000000" w:themeColor="text1" w:themeTint="FF" w:themeShade="FF"/>
                <w:sz w:val="24"/>
                <w:szCs w:val="24"/>
                <w:lang w:val="en"/>
              </w:rPr>
            </w:pPr>
            <w:r w:rsidRPr="4A7CC396" w:rsidR="6EDBCF86">
              <w:rPr>
                <w:rFonts w:ascii="Times New Roman" w:hAnsi="Times New Roman" w:eastAsia="Times New Roman" w:cs="Times New Roman"/>
                <w:noProof w:val="0"/>
                <w:color w:val="000000" w:themeColor="text1" w:themeTint="FF" w:themeShade="FF"/>
                <w:sz w:val="24"/>
                <w:szCs w:val="24"/>
                <w:lang w:val="en"/>
              </w:rPr>
              <w:t>Catalina Pena</w:t>
            </w:r>
            <w:r>
              <w:br/>
            </w:r>
            <w:r w:rsidRPr="4A7CC396" w:rsidR="6A47714B">
              <w:rPr>
                <w:rFonts w:ascii="Times New Roman" w:hAnsi="Times New Roman" w:eastAsia="Times New Roman" w:cs="Times New Roman"/>
                <w:i w:val="1"/>
                <w:iCs w:val="1"/>
                <w:noProof w:val="0"/>
                <w:color w:val="000000" w:themeColor="text1" w:themeTint="FF" w:themeShade="FF"/>
                <w:sz w:val="24"/>
                <w:szCs w:val="24"/>
                <w:lang w:val="en"/>
              </w:rPr>
              <w:t xml:space="preserve"> </w:t>
            </w:r>
            <w:r w:rsidRPr="4A7CC396" w:rsidR="5F57F057">
              <w:rPr>
                <w:rFonts w:ascii="Times New Roman" w:hAnsi="Times New Roman" w:eastAsia="Times New Roman" w:cs="Times New Roman"/>
                <w:i w:val="1"/>
                <w:iCs w:val="1"/>
                <w:noProof w:val="0"/>
                <w:color w:val="000000" w:themeColor="text1" w:themeTint="FF" w:themeShade="FF"/>
                <w:sz w:val="24"/>
                <w:szCs w:val="24"/>
                <w:lang w:val="en"/>
              </w:rPr>
              <w:t xml:space="preserve">Affiliated </w:t>
            </w:r>
            <w:r w:rsidRPr="4A7CC396" w:rsidR="6A47714B">
              <w:rPr>
                <w:rFonts w:ascii="Times New Roman" w:hAnsi="Times New Roman" w:eastAsia="Times New Roman" w:cs="Times New Roman"/>
                <w:i w:val="1"/>
                <w:iCs w:val="1"/>
                <w:noProof w:val="0"/>
                <w:color w:val="000000" w:themeColor="text1" w:themeTint="FF" w:themeShade="FF"/>
                <w:sz w:val="24"/>
                <w:szCs w:val="24"/>
                <w:lang w:val="en"/>
              </w:rPr>
              <w:t>University</w:t>
            </w:r>
            <w:r>
              <w:br/>
            </w:r>
            <w:r w:rsidRPr="4A7CC396" w:rsidR="1A8E3F1D">
              <w:rPr>
                <w:rFonts w:ascii="Times New Roman" w:hAnsi="Times New Roman" w:eastAsia="Times New Roman" w:cs="Times New Roman"/>
                <w:noProof w:val="0"/>
                <w:color w:val="000000" w:themeColor="text1" w:themeTint="FF" w:themeShade="FF"/>
                <w:sz w:val="24"/>
                <w:szCs w:val="24"/>
                <w:lang w:val="en"/>
              </w:rPr>
              <w:t>cp22l</w:t>
            </w:r>
            <w:r w:rsidRPr="4A7CC396" w:rsidR="13895E8D">
              <w:rPr>
                <w:rFonts w:ascii="Times New Roman" w:hAnsi="Times New Roman" w:eastAsia="Times New Roman" w:cs="Times New Roman"/>
                <w:noProof w:val="0"/>
                <w:color w:val="000000" w:themeColor="text1" w:themeTint="FF" w:themeShade="FF"/>
                <w:sz w:val="24"/>
                <w:szCs w:val="24"/>
                <w:lang w:val="en"/>
              </w:rPr>
              <w:t>@</w:t>
            </w:r>
            <w:r w:rsidRPr="4A7CC396" w:rsidR="182EB159">
              <w:rPr>
                <w:rFonts w:ascii="Times New Roman" w:hAnsi="Times New Roman" w:eastAsia="Times New Roman" w:cs="Times New Roman"/>
                <w:noProof w:val="0"/>
                <w:color w:val="000000" w:themeColor="text1" w:themeTint="FF" w:themeShade="FF"/>
                <w:sz w:val="24"/>
                <w:szCs w:val="24"/>
                <w:lang w:val="en"/>
              </w:rPr>
              <w:t>fsu</w:t>
            </w:r>
            <w:r w:rsidRPr="4A7CC396" w:rsidR="07C62F24">
              <w:rPr>
                <w:rFonts w:ascii="Times New Roman" w:hAnsi="Times New Roman" w:eastAsia="Times New Roman" w:cs="Times New Roman"/>
                <w:noProof w:val="0"/>
                <w:color w:val="000000" w:themeColor="text1" w:themeTint="FF" w:themeShade="FF"/>
                <w:sz w:val="24"/>
                <w:szCs w:val="24"/>
                <w:lang w:val="en"/>
              </w:rPr>
              <w:t>.edu</w:t>
            </w:r>
          </w:p>
        </w:tc>
      </w:tr>
      <w:tr w:rsidR="4A7CC396" w:rsidTr="4A7CC396" w14:paraId="110BC025">
        <w:trPr>
          <w:cantSplit w:val="0"/>
          <w:tblHeader w:val="0"/>
          <w:trHeight w:val="300"/>
        </w:trPr>
        <w:tc>
          <w:tcPr>
            <w:tcW w:w="3271" w:type="dxa"/>
            <w:tcBorders>
              <w:top w:val="none" w:color="000000" w:themeColor="text1" w:sz="12"/>
              <w:left w:val="none" w:color="000000" w:themeColor="text1" w:sz="12"/>
              <w:bottom w:val="none" w:color="000000" w:themeColor="text1" w:sz="12"/>
              <w:right w:val="none" w:color="000000" w:themeColor="text1" w:sz="12"/>
            </w:tcBorders>
            <w:tcMar/>
          </w:tcPr>
          <w:p w:rsidR="7A3D0144" w:rsidP="4A7CC396" w:rsidRDefault="7A3D0144" w14:paraId="0E1DF431" w14:textId="3B6BC3A3">
            <w:pPr>
              <w:pStyle w:val="Normal"/>
              <w:keepNext w:val="0"/>
              <w:keepLines w:val="0"/>
              <w:widowControl w:val="0"/>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240" w:afterAutospacing="off" w:line="240" w:lineRule="auto"/>
              <w:ind w:left="0" w:right="0"/>
              <w:jc w:val="center"/>
              <w:rPr>
                <w:rFonts w:ascii="Times New Roman" w:hAnsi="Times New Roman" w:eastAsia="Times New Roman" w:cs="Times New Roman"/>
                <w:noProof w:val="0"/>
                <w:sz w:val="24"/>
                <w:szCs w:val="24"/>
                <w:lang w:val="en"/>
              </w:rPr>
            </w:pPr>
            <w:r w:rsidRPr="4A7CC396" w:rsidR="7A3D0144">
              <w:rPr>
                <w:rFonts w:ascii="Times New Roman" w:hAnsi="Times New Roman" w:eastAsia="Times New Roman" w:cs="Times New Roman"/>
                <w:noProof w:val="0"/>
                <w:color w:val="000000" w:themeColor="text1" w:themeTint="FF" w:themeShade="FF"/>
                <w:sz w:val="24"/>
                <w:szCs w:val="24"/>
                <w:lang w:val="en"/>
              </w:rPr>
              <w:t>Deekshitha M Reddy</w:t>
            </w:r>
            <w:r>
              <w:br/>
            </w:r>
            <w:r w:rsidRPr="4A7CC396" w:rsidR="7A3D0144">
              <w:rPr>
                <w:rFonts w:ascii="Times New Roman" w:hAnsi="Times New Roman" w:eastAsia="Times New Roman" w:cs="Times New Roman"/>
                <w:i w:val="1"/>
                <w:iCs w:val="1"/>
                <w:noProof w:val="0"/>
                <w:color w:val="000000" w:themeColor="text1" w:themeTint="FF" w:themeShade="FF"/>
                <w:sz w:val="24"/>
                <w:szCs w:val="24"/>
                <w:lang w:val="en"/>
              </w:rPr>
              <w:t>Duke University</w:t>
            </w:r>
            <w:r>
              <w:br/>
            </w:r>
            <w:r w:rsidRPr="4A7CC396" w:rsidR="7A3D0144">
              <w:rPr>
                <w:rFonts w:ascii="Times New Roman" w:hAnsi="Times New Roman" w:eastAsia="Times New Roman" w:cs="Times New Roman"/>
                <w:i w:val="0"/>
                <w:iCs w:val="0"/>
                <w:noProof w:val="0"/>
                <w:color w:val="000000" w:themeColor="text1" w:themeTint="FF" w:themeShade="FF"/>
                <w:sz w:val="24"/>
                <w:szCs w:val="24"/>
                <w:lang w:val="en"/>
              </w:rPr>
              <w:t>dm587@duke.edu</w:t>
            </w:r>
          </w:p>
        </w:tc>
        <w:tc>
          <w:tcPr>
            <w:tcW w:w="3273" w:type="dxa"/>
            <w:tcBorders>
              <w:top w:val="none" w:color="000000" w:themeColor="text1" w:sz="12"/>
              <w:left w:val="none" w:color="000000" w:themeColor="text1" w:sz="12"/>
              <w:bottom w:val="none" w:color="000000" w:themeColor="text1" w:sz="12"/>
              <w:right w:val="none" w:color="000000" w:themeColor="text1" w:sz="12"/>
            </w:tcBorders>
            <w:tcMar/>
          </w:tcPr>
          <w:p w:rsidR="7A3D0144" w:rsidP="4A7CC396" w:rsidRDefault="7A3D0144" w14:paraId="42CB79B9" w14:textId="691032C1">
            <w:pPr>
              <w:jc w:val="center"/>
            </w:pPr>
            <w:r w:rsidRPr="4A7CC396" w:rsidR="7A3D0144">
              <w:rPr>
                <w:rFonts w:ascii="Times New Roman" w:hAnsi="Times New Roman" w:eastAsia="Times New Roman" w:cs="Times New Roman"/>
                <w:noProof w:val="0"/>
                <w:color w:val="000000" w:themeColor="text1" w:themeTint="FF" w:themeShade="FF"/>
                <w:sz w:val="24"/>
                <w:szCs w:val="24"/>
                <w:lang w:val="en"/>
              </w:rPr>
              <w:t>Sera Tan</w:t>
            </w:r>
          </w:p>
          <w:p w:rsidR="7A3D0144" w:rsidP="4A7CC396" w:rsidRDefault="7A3D0144" w14:paraId="20DBAA6D" w14:textId="457ED3C6">
            <w:pPr>
              <w:pStyle w:val="Normal"/>
              <w:jc w:val="center"/>
              <w:rPr>
                <w:rFonts w:ascii="Times New Roman" w:hAnsi="Times New Roman" w:eastAsia="Times New Roman" w:cs="Times New Roman"/>
                <w:noProof w:val="0"/>
                <w:color w:val="000000" w:themeColor="text1" w:themeTint="FF" w:themeShade="FF"/>
                <w:sz w:val="24"/>
                <w:szCs w:val="24"/>
                <w:lang w:val="en"/>
              </w:rPr>
            </w:pPr>
            <w:r w:rsidRPr="4A7CC396" w:rsidR="7A3D0144">
              <w:rPr>
                <w:rFonts w:ascii="Times New Roman" w:hAnsi="Times New Roman" w:eastAsia="Times New Roman" w:cs="Times New Roman"/>
                <w:i w:val="1"/>
                <w:iCs w:val="1"/>
                <w:noProof w:val="0"/>
                <w:color w:val="000000" w:themeColor="text1" w:themeTint="FF" w:themeShade="FF"/>
                <w:sz w:val="24"/>
                <w:szCs w:val="24"/>
                <w:lang w:val="en"/>
              </w:rPr>
              <w:t>Duke University</w:t>
            </w:r>
            <w:r>
              <w:br/>
            </w:r>
            <w:r w:rsidRPr="4A7CC396" w:rsidR="7A3D0144">
              <w:rPr>
                <w:rFonts w:ascii="Times New Roman" w:hAnsi="Times New Roman" w:eastAsia="Times New Roman" w:cs="Times New Roman"/>
                <w:noProof w:val="0"/>
                <w:color w:val="000000" w:themeColor="text1" w:themeTint="FF" w:themeShade="FF"/>
                <w:sz w:val="24"/>
                <w:szCs w:val="24"/>
                <w:lang w:val="en"/>
              </w:rPr>
              <w:t>kangyu.tan</w:t>
            </w:r>
            <w:r w:rsidRPr="4A7CC396" w:rsidR="7A3D0144">
              <w:rPr>
                <w:rFonts w:ascii="Times New Roman" w:hAnsi="Times New Roman" w:eastAsia="Times New Roman" w:cs="Times New Roman"/>
                <w:noProof w:val="0"/>
                <w:color w:val="000000" w:themeColor="text1" w:themeTint="FF" w:themeShade="FF"/>
                <w:sz w:val="24"/>
                <w:szCs w:val="24"/>
                <w:lang w:val="en"/>
              </w:rPr>
              <w:t>@duke.edu</w:t>
            </w:r>
          </w:p>
        </w:tc>
        <w:tc>
          <w:tcPr>
            <w:tcW w:w="3276" w:type="dxa"/>
            <w:tcBorders>
              <w:top w:val="none" w:color="000000" w:themeColor="text1" w:sz="12"/>
              <w:left w:val="none" w:color="000000" w:themeColor="text1" w:sz="12"/>
              <w:bottom w:val="none" w:color="000000" w:themeColor="text1" w:sz="12"/>
              <w:right w:val="none" w:color="000000" w:themeColor="text1" w:sz="12"/>
            </w:tcBorders>
            <w:tcMar/>
          </w:tcPr>
          <w:p w:rsidR="78B5E545" w:rsidP="4A7CC396" w:rsidRDefault="78B5E545" w14:paraId="4ABA456D" w14:textId="3CB07852">
            <w:pPr>
              <w:pStyle w:val="Normal"/>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pacing w:before="0" w:after="240" w:line="240" w:lineRule="auto"/>
              <w:jc w:val="center"/>
              <w:rPr>
                <w:rFonts w:ascii="Times New Roman" w:hAnsi="Times New Roman" w:eastAsia="Times New Roman" w:cs="Times New Roman"/>
                <w:noProof w:val="0"/>
                <w:color w:val="000000" w:themeColor="text1" w:themeTint="FF" w:themeShade="FF"/>
                <w:sz w:val="24"/>
                <w:szCs w:val="24"/>
                <w:lang w:val="en"/>
              </w:rPr>
            </w:pPr>
            <w:r w:rsidRPr="4A7CC396" w:rsidR="78B5E545">
              <w:rPr>
                <w:rFonts w:ascii="Times New Roman" w:hAnsi="Times New Roman" w:eastAsia="Times New Roman" w:cs="Times New Roman"/>
                <w:noProof w:val="0"/>
                <w:color w:val="000000" w:themeColor="text1" w:themeTint="FF" w:themeShade="FF"/>
                <w:sz w:val="24"/>
                <w:szCs w:val="24"/>
                <w:lang w:val="en"/>
              </w:rPr>
              <w:t>Sam</w:t>
            </w:r>
            <w:r w:rsidRPr="4A7CC396" w:rsidR="7A3D0144">
              <w:rPr>
                <w:rFonts w:ascii="Times New Roman" w:hAnsi="Times New Roman" w:eastAsia="Times New Roman" w:cs="Times New Roman"/>
                <w:noProof w:val="0"/>
                <w:color w:val="000000" w:themeColor="text1" w:themeTint="FF" w:themeShade="FF"/>
                <w:sz w:val="24"/>
                <w:szCs w:val="24"/>
                <w:lang w:val="en"/>
              </w:rPr>
              <w:t xml:space="preserve"> </w:t>
            </w:r>
            <w:r w:rsidRPr="4A7CC396" w:rsidR="00A5A35B">
              <w:rPr>
                <w:rFonts w:ascii="Times New Roman" w:hAnsi="Times New Roman" w:eastAsia="Times New Roman" w:cs="Times New Roman"/>
                <w:noProof w:val="0"/>
                <w:color w:val="000000" w:themeColor="text1" w:themeTint="FF" w:themeShade="FF"/>
                <w:sz w:val="24"/>
                <w:szCs w:val="24"/>
                <w:lang w:val="en"/>
              </w:rPr>
              <w:t>Schnell</w:t>
            </w:r>
            <w:r>
              <w:br/>
            </w:r>
            <w:r w:rsidRPr="4A7CC396" w:rsidR="7A3D0144">
              <w:rPr>
                <w:rFonts w:ascii="Times New Roman" w:hAnsi="Times New Roman" w:eastAsia="Times New Roman" w:cs="Times New Roman"/>
                <w:i w:val="1"/>
                <w:iCs w:val="1"/>
                <w:noProof w:val="0"/>
                <w:color w:val="000000" w:themeColor="text1" w:themeTint="FF" w:themeShade="FF"/>
                <w:sz w:val="24"/>
                <w:szCs w:val="24"/>
                <w:lang w:val="en"/>
              </w:rPr>
              <w:t xml:space="preserve"> </w:t>
            </w:r>
            <w:r w:rsidRPr="4A7CC396" w:rsidR="62923662">
              <w:rPr>
                <w:rFonts w:ascii="Times New Roman" w:hAnsi="Times New Roman" w:eastAsia="Times New Roman" w:cs="Times New Roman"/>
                <w:i w:val="1"/>
                <w:iCs w:val="1"/>
                <w:noProof w:val="0"/>
                <w:color w:val="000000" w:themeColor="text1" w:themeTint="FF" w:themeShade="FF"/>
                <w:sz w:val="24"/>
                <w:szCs w:val="24"/>
                <w:lang w:val="en"/>
              </w:rPr>
              <w:t xml:space="preserve">Affiliated </w:t>
            </w:r>
            <w:r w:rsidRPr="4A7CC396" w:rsidR="7A3D0144">
              <w:rPr>
                <w:rFonts w:ascii="Times New Roman" w:hAnsi="Times New Roman" w:eastAsia="Times New Roman" w:cs="Times New Roman"/>
                <w:i w:val="1"/>
                <w:iCs w:val="1"/>
                <w:noProof w:val="0"/>
                <w:color w:val="000000" w:themeColor="text1" w:themeTint="FF" w:themeShade="FF"/>
                <w:sz w:val="24"/>
                <w:szCs w:val="24"/>
                <w:lang w:val="en"/>
              </w:rPr>
              <w:t>University</w:t>
            </w:r>
            <w:r>
              <w:br/>
            </w:r>
            <w:r w:rsidRPr="4A7CC396" w:rsidR="6DE0F3AF">
              <w:rPr>
                <w:rFonts w:ascii="Times New Roman" w:hAnsi="Times New Roman" w:eastAsia="Times New Roman" w:cs="Times New Roman"/>
                <w:noProof w:val="0"/>
                <w:color w:val="000000" w:themeColor="text1" w:themeTint="FF" w:themeShade="FF"/>
                <w:sz w:val="24"/>
                <w:szCs w:val="24"/>
                <w:lang w:val="en"/>
              </w:rPr>
              <w:t>sstia12</w:t>
            </w:r>
            <w:r w:rsidRPr="4A7CC396" w:rsidR="7A3D0144">
              <w:rPr>
                <w:rFonts w:ascii="Times New Roman" w:hAnsi="Times New Roman" w:eastAsia="Times New Roman" w:cs="Times New Roman"/>
                <w:noProof w:val="0"/>
                <w:color w:val="000000" w:themeColor="text1" w:themeTint="FF" w:themeShade="FF"/>
                <w:sz w:val="24"/>
                <w:szCs w:val="24"/>
                <w:lang w:val="en"/>
              </w:rPr>
              <w:t>@</w:t>
            </w:r>
            <w:r w:rsidRPr="4A7CC396" w:rsidR="48A9C651">
              <w:rPr>
                <w:rFonts w:ascii="Times New Roman" w:hAnsi="Times New Roman" w:eastAsia="Times New Roman" w:cs="Times New Roman"/>
                <w:noProof w:val="0"/>
                <w:color w:val="000000" w:themeColor="text1" w:themeTint="FF" w:themeShade="FF"/>
                <w:sz w:val="24"/>
                <w:szCs w:val="24"/>
                <w:lang w:val="en"/>
              </w:rPr>
              <w:t>gmail</w:t>
            </w:r>
            <w:r w:rsidRPr="4A7CC396" w:rsidR="7A3D0144">
              <w:rPr>
                <w:rFonts w:ascii="Times New Roman" w:hAnsi="Times New Roman" w:eastAsia="Times New Roman" w:cs="Times New Roman"/>
                <w:noProof w:val="0"/>
                <w:color w:val="000000" w:themeColor="text1" w:themeTint="FF" w:themeShade="FF"/>
                <w:sz w:val="24"/>
                <w:szCs w:val="24"/>
                <w:lang w:val="en"/>
              </w:rPr>
              <w:t>.</w:t>
            </w:r>
            <w:r w:rsidRPr="4A7CC396" w:rsidR="712FFE1B">
              <w:rPr>
                <w:rFonts w:ascii="Times New Roman" w:hAnsi="Times New Roman" w:eastAsia="Times New Roman" w:cs="Times New Roman"/>
                <w:noProof w:val="0"/>
                <w:color w:val="000000" w:themeColor="text1" w:themeTint="FF" w:themeShade="FF"/>
                <w:sz w:val="24"/>
                <w:szCs w:val="24"/>
                <w:lang w:val="en"/>
              </w:rPr>
              <w:t>com</w:t>
            </w:r>
          </w:p>
        </w:tc>
      </w:tr>
      <w:tr w:rsidR="4A7CC396" w:rsidTr="4A7CC396" w14:paraId="3DCFF6F3">
        <w:trPr>
          <w:cantSplit w:val="0"/>
          <w:tblHeader w:val="0"/>
          <w:trHeight w:val="300"/>
        </w:trPr>
        <w:tc>
          <w:tcPr>
            <w:tcW w:w="3271" w:type="dxa"/>
            <w:tcBorders>
              <w:top w:val="none" w:color="000000" w:themeColor="text1" w:sz="12"/>
              <w:left w:val="none" w:color="000000" w:themeColor="text1" w:sz="12"/>
              <w:bottom w:val="none" w:color="000000" w:themeColor="text1" w:sz="12"/>
              <w:right w:val="none" w:color="000000" w:themeColor="text1" w:sz="12"/>
            </w:tcBorders>
            <w:tcMar/>
          </w:tcPr>
          <w:p w:rsidR="712FFE1B" w:rsidP="4A7CC396" w:rsidRDefault="712FFE1B" w14:paraId="11E21806" w14:textId="5506E70A">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pacing w:before="0" w:beforeAutospacing="off" w:after="240" w:afterAutospacing="off" w:line="240" w:lineRule="auto"/>
              <w:ind w:left="0" w:right="0"/>
              <w:jc w:val="center"/>
              <w:rPr>
                <w:rFonts w:ascii="Times New Roman" w:hAnsi="Times New Roman" w:eastAsia="Times New Roman" w:cs="Times New Roman"/>
                <w:noProof w:val="0"/>
                <w:sz w:val="24"/>
                <w:szCs w:val="24"/>
                <w:lang w:val="en-US"/>
              </w:rPr>
            </w:pPr>
            <w:r w:rsidRPr="4A7CC396" w:rsidR="712FFE1B">
              <w:rPr>
                <w:rFonts w:ascii="Times New Roman" w:hAnsi="Times New Roman" w:eastAsia="Times New Roman" w:cs="Times New Roman"/>
                <w:noProof w:val="0"/>
                <w:color w:val="000000" w:themeColor="text1" w:themeTint="FF" w:themeShade="FF"/>
                <w:sz w:val="24"/>
                <w:szCs w:val="24"/>
                <w:lang w:val="en-US"/>
              </w:rPr>
              <w:t>Jinghao</w:t>
            </w:r>
            <w:r w:rsidRPr="4A7CC396" w:rsidR="7A3D0144">
              <w:rPr>
                <w:rFonts w:ascii="Times New Roman" w:hAnsi="Times New Roman" w:eastAsia="Times New Roman" w:cs="Times New Roman"/>
                <w:noProof w:val="0"/>
                <w:color w:val="000000" w:themeColor="text1" w:themeTint="FF" w:themeShade="FF"/>
                <w:sz w:val="24"/>
                <w:szCs w:val="24"/>
                <w:lang w:val="en-US"/>
              </w:rPr>
              <w:t xml:space="preserve"> </w:t>
            </w:r>
            <w:r w:rsidRPr="4A7CC396" w:rsidR="5964016C">
              <w:rPr>
                <w:rFonts w:ascii="Times New Roman" w:hAnsi="Times New Roman" w:eastAsia="Times New Roman" w:cs="Times New Roman"/>
                <w:noProof w:val="0"/>
                <w:color w:val="000000" w:themeColor="text1" w:themeTint="FF" w:themeShade="FF"/>
                <w:sz w:val="24"/>
                <w:szCs w:val="24"/>
                <w:lang w:val="en-US"/>
              </w:rPr>
              <w:t>You</w:t>
            </w:r>
            <w:r>
              <w:br/>
            </w:r>
            <w:r w:rsidRPr="4A7CC396" w:rsidR="7A3D0144">
              <w:rPr>
                <w:rFonts w:ascii="Times New Roman" w:hAnsi="Times New Roman" w:eastAsia="Times New Roman" w:cs="Times New Roman"/>
                <w:i w:val="1"/>
                <w:iCs w:val="1"/>
                <w:noProof w:val="0"/>
                <w:color w:val="000000" w:themeColor="text1" w:themeTint="FF" w:themeShade="FF"/>
                <w:sz w:val="24"/>
                <w:szCs w:val="24"/>
                <w:lang w:val="en-US"/>
              </w:rPr>
              <w:t>Duke University</w:t>
            </w:r>
            <w:r>
              <w:br/>
            </w:r>
            <w:r w:rsidRPr="4A7CC396" w:rsidR="131D9C0C">
              <w:rPr>
                <w:rFonts w:ascii="Times New Roman" w:hAnsi="Times New Roman" w:eastAsia="Times New Roman" w:cs="Times New Roman"/>
                <w:i w:val="0"/>
                <w:iCs w:val="0"/>
                <w:noProof w:val="0"/>
                <w:color w:val="000000" w:themeColor="text1" w:themeTint="FF" w:themeShade="FF"/>
                <w:sz w:val="24"/>
                <w:szCs w:val="24"/>
                <w:lang w:val="en-US"/>
              </w:rPr>
              <w:t>jinghao</w:t>
            </w:r>
            <w:r w:rsidRPr="4A7CC396" w:rsidR="7A3D0144">
              <w:rPr>
                <w:rFonts w:ascii="Times New Roman" w:hAnsi="Times New Roman" w:eastAsia="Times New Roman" w:cs="Times New Roman"/>
                <w:i w:val="0"/>
                <w:iCs w:val="0"/>
                <w:noProof w:val="0"/>
                <w:color w:val="000000" w:themeColor="text1" w:themeTint="FF" w:themeShade="FF"/>
                <w:sz w:val="24"/>
                <w:szCs w:val="24"/>
                <w:lang w:val="en-US"/>
              </w:rPr>
              <w:t>.</w:t>
            </w:r>
            <w:r w:rsidRPr="4A7CC396" w:rsidR="37DFDC22">
              <w:rPr>
                <w:rFonts w:ascii="Times New Roman" w:hAnsi="Times New Roman" w:eastAsia="Times New Roman" w:cs="Times New Roman"/>
                <w:i w:val="0"/>
                <w:iCs w:val="0"/>
                <w:noProof w:val="0"/>
                <w:color w:val="000000" w:themeColor="text1" w:themeTint="FF" w:themeShade="FF"/>
                <w:sz w:val="24"/>
                <w:szCs w:val="24"/>
                <w:lang w:val="en-US"/>
              </w:rPr>
              <w:t>you</w:t>
            </w:r>
            <w:r w:rsidRPr="4A7CC396" w:rsidR="7A3D0144">
              <w:rPr>
                <w:rFonts w:ascii="Times New Roman" w:hAnsi="Times New Roman" w:eastAsia="Times New Roman" w:cs="Times New Roman"/>
                <w:i w:val="0"/>
                <w:iCs w:val="0"/>
                <w:noProof w:val="0"/>
                <w:color w:val="000000" w:themeColor="text1" w:themeTint="FF" w:themeShade="FF"/>
                <w:sz w:val="24"/>
                <w:szCs w:val="24"/>
                <w:lang w:val="en-US"/>
              </w:rPr>
              <w:t>@</w:t>
            </w:r>
            <w:r w:rsidRPr="4A7CC396" w:rsidR="7A3D0144">
              <w:rPr>
                <w:rFonts w:ascii="Times New Roman" w:hAnsi="Times New Roman" w:eastAsia="Times New Roman" w:cs="Times New Roman"/>
                <w:i w:val="0"/>
                <w:iCs w:val="0"/>
                <w:noProof w:val="0"/>
                <w:color w:val="000000" w:themeColor="text1" w:themeTint="FF" w:themeShade="FF"/>
                <w:sz w:val="24"/>
                <w:szCs w:val="24"/>
                <w:lang w:val="en-US"/>
              </w:rPr>
              <w:t>duke.edu</w:t>
            </w:r>
          </w:p>
        </w:tc>
        <w:tc>
          <w:tcPr>
            <w:tcW w:w="3273" w:type="dxa"/>
            <w:tcBorders>
              <w:top w:val="none" w:color="000000" w:themeColor="text1" w:sz="12"/>
              <w:left w:val="none" w:color="000000" w:themeColor="text1" w:sz="12"/>
              <w:bottom w:val="none" w:color="000000" w:themeColor="text1" w:sz="12"/>
              <w:right w:val="none" w:color="000000" w:themeColor="text1" w:sz="12"/>
            </w:tcBorders>
            <w:tcMar/>
          </w:tcPr>
          <w:p w:rsidR="2D03E12E" w:rsidP="4A7CC396" w:rsidRDefault="2D03E12E" w14:paraId="771D4F3E" w14:textId="056BA298">
            <w:pPr>
              <w:pStyle w:val="Normal"/>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pacing w:before="0" w:after="240" w:line="240" w:lineRule="auto"/>
              <w:jc w:val="center"/>
              <w:rPr>
                <w:rFonts w:ascii="Times New Roman" w:hAnsi="Times New Roman" w:eastAsia="Times New Roman" w:cs="Times New Roman"/>
                <w:noProof w:val="0"/>
                <w:color w:val="000000" w:themeColor="text1" w:themeTint="FF" w:themeShade="FF"/>
                <w:sz w:val="24"/>
                <w:szCs w:val="24"/>
                <w:lang w:val="en-US"/>
              </w:rPr>
            </w:pPr>
            <w:r w:rsidRPr="4A7CC396" w:rsidR="2D03E12E">
              <w:rPr>
                <w:rFonts w:ascii="Times New Roman" w:hAnsi="Times New Roman" w:eastAsia="Times New Roman" w:cs="Times New Roman"/>
                <w:noProof w:val="0"/>
                <w:color w:val="000000" w:themeColor="text1" w:themeTint="FF" w:themeShade="FF"/>
                <w:sz w:val="24"/>
                <w:szCs w:val="24"/>
                <w:lang w:val="en-US"/>
              </w:rPr>
              <w:t>Tony</w:t>
            </w:r>
            <w:r w:rsidRPr="4A7CC396" w:rsidR="2D03E12E">
              <w:rPr>
                <w:rFonts w:ascii="Times New Roman" w:hAnsi="Times New Roman" w:eastAsia="Times New Roman" w:cs="Times New Roman"/>
                <w:noProof w:val="0"/>
                <w:color w:val="000000" w:themeColor="text1" w:themeTint="FF" w:themeShade="FF"/>
                <w:sz w:val="24"/>
                <w:szCs w:val="24"/>
                <w:lang w:val="en-US"/>
              </w:rPr>
              <w:t xml:space="preserve"> Karikui</w:t>
            </w:r>
            <w:r>
              <w:br/>
            </w:r>
            <w:r w:rsidRPr="4A7CC396" w:rsidR="7A3D0144">
              <w:rPr>
                <w:rFonts w:ascii="Times New Roman" w:hAnsi="Times New Roman" w:eastAsia="Times New Roman" w:cs="Times New Roman"/>
                <w:i w:val="1"/>
                <w:iCs w:val="1"/>
                <w:noProof w:val="0"/>
                <w:color w:val="000000" w:themeColor="text1" w:themeTint="FF" w:themeShade="FF"/>
                <w:sz w:val="24"/>
                <w:szCs w:val="24"/>
                <w:lang w:val="en-US"/>
              </w:rPr>
              <w:t>Duke University</w:t>
            </w:r>
            <w:r>
              <w:br/>
            </w:r>
            <w:r w:rsidRPr="4A7CC396" w:rsidR="40131D04">
              <w:rPr>
                <w:rFonts w:ascii="Times New Roman" w:hAnsi="Times New Roman" w:eastAsia="Times New Roman" w:cs="Times New Roman"/>
                <w:noProof w:val="0"/>
                <w:color w:val="000000" w:themeColor="text1" w:themeTint="FF" w:themeShade="FF"/>
                <w:sz w:val="24"/>
                <w:szCs w:val="24"/>
                <w:lang w:val="en-US"/>
              </w:rPr>
              <w:t>tony.ngari</w:t>
            </w:r>
            <w:r w:rsidRPr="4A7CC396" w:rsidR="7A3D0144">
              <w:rPr>
                <w:rFonts w:ascii="Times New Roman" w:hAnsi="Times New Roman" w:eastAsia="Times New Roman" w:cs="Times New Roman"/>
                <w:noProof w:val="0"/>
                <w:color w:val="000000" w:themeColor="text1" w:themeTint="FF" w:themeShade="FF"/>
                <w:sz w:val="24"/>
                <w:szCs w:val="24"/>
                <w:lang w:val="en-US"/>
              </w:rPr>
              <w:t>@duke.edu</w:t>
            </w:r>
          </w:p>
        </w:tc>
        <w:tc>
          <w:tcPr>
            <w:tcW w:w="3276" w:type="dxa"/>
            <w:tcBorders>
              <w:top w:val="none" w:color="000000" w:themeColor="text1" w:sz="12"/>
              <w:left w:val="none" w:color="000000" w:themeColor="text1" w:sz="12"/>
              <w:bottom w:val="none" w:color="000000" w:themeColor="text1" w:sz="12"/>
              <w:right w:val="none" w:color="000000" w:themeColor="text1" w:sz="12"/>
            </w:tcBorders>
            <w:tcMar/>
          </w:tcPr>
          <w:p w:rsidR="643FDB50" w:rsidP="4A7CC396" w:rsidRDefault="643FDB50" w14:paraId="2D87490A" w14:textId="7084580E">
            <w:pPr>
              <w:pStyle w:val="Normal"/>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pacing w:before="0" w:after="240" w:line="240" w:lineRule="auto"/>
              <w:jc w:val="center"/>
              <w:rPr>
                <w:rFonts w:ascii="Times New Roman" w:hAnsi="Times New Roman" w:eastAsia="Times New Roman" w:cs="Times New Roman"/>
                <w:noProof w:val="0"/>
                <w:color w:val="000000" w:themeColor="text1" w:themeTint="FF" w:themeShade="FF"/>
                <w:sz w:val="24"/>
                <w:szCs w:val="24"/>
                <w:lang w:val="en"/>
              </w:rPr>
            </w:pPr>
            <w:r w:rsidRPr="4A7CC396" w:rsidR="643FDB50">
              <w:rPr>
                <w:rFonts w:ascii="Times New Roman" w:hAnsi="Times New Roman" w:eastAsia="Times New Roman" w:cs="Times New Roman"/>
                <w:noProof w:val="0"/>
                <w:color w:val="000000" w:themeColor="text1" w:themeTint="FF" w:themeShade="FF"/>
                <w:sz w:val="24"/>
                <w:szCs w:val="24"/>
                <w:lang w:val="en"/>
              </w:rPr>
              <w:t>Jenson</w:t>
            </w:r>
            <w:r w:rsidRPr="4A7CC396" w:rsidR="7A3D0144">
              <w:rPr>
                <w:rFonts w:ascii="Times New Roman" w:hAnsi="Times New Roman" w:eastAsia="Times New Roman" w:cs="Times New Roman"/>
                <w:noProof w:val="0"/>
                <w:color w:val="000000" w:themeColor="text1" w:themeTint="FF" w:themeShade="FF"/>
                <w:sz w:val="24"/>
                <w:szCs w:val="24"/>
                <w:lang w:val="en"/>
              </w:rPr>
              <w:t xml:space="preserve"> </w:t>
            </w:r>
            <w:r w:rsidRPr="4A7CC396" w:rsidR="034540C1">
              <w:rPr>
                <w:rFonts w:ascii="Times New Roman" w:hAnsi="Times New Roman" w:eastAsia="Times New Roman" w:cs="Times New Roman"/>
                <w:noProof w:val="0"/>
                <w:color w:val="000000" w:themeColor="text1" w:themeTint="FF" w:themeShade="FF"/>
                <w:sz w:val="24"/>
                <w:szCs w:val="24"/>
                <w:lang w:val="en"/>
              </w:rPr>
              <w:t>Goh</w:t>
            </w:r>
            <w:r>
              <w:br/>
            </w:r>
            <w:r w:rsidRPr="4A7CC396" w:rsidR="7A3D0144">
              <w:rPr>
                <w:rFonts w:ascii="Times New Roman" w:hAnsi="Times New Roman" w:eastAsia="Times New Roman" w:cs="Times New Roman"/>
                <w:i w:val="1"/>
                <w:iCs w:val="1"/>
                <w:noProof w:val="0"/>
                <w:color w:val="000000" w:themeColor="text1" w:themeTint="FF" w:themeShade="FF"/>
                <w:sz w:val="24"/>
                <w:szCs w:val="24"/>
                <w:lang w:val="en"/>
              </w:rPr>
              <w:t>Duke University</w:t>
            </w:r>
            <w:r>
              <w:br/>
            </w:r>
            <w:r w:rsidRPr="4A7CC396" w:rsidR="2F50EAF6">
              <w:rPr>
                <w:rFonts w:ascii="Times New Roman" w:hAnsi="Times New Roman" w:eastAsia="Times New Roman" w:cs="Times New Roman"/>
                <w:noProof w:val="0"/>
                <w:color w:val="000000" w:themeColor="text1" w:themeTint="FF" w:themeShade="FF"/>
                <w:sz w:val="24"/>
                <w:szCs w:val="24"/>
                <w:lang w:val="en"/>
              </w:rPr>
              <w:t>jenson.goh</w:t>
            </w:r>
            <w:r w:rsidRPr="4A7CC396" w:rsidR="7A3D0144">
              <w:rPr>
                <w:rFonts w:ascii="Times New Roman" w:hAnsi="Times New Roman" w:eastAsia="Times New Roman" w:cs="Times New Roman"/>
                <w:noProof w:val="0"/>
                <w:color w:val="000000" w:themeColor="text1" w:themeTint="FF" w:themeShade="FF"/>
                <w:sz w:val="24"/>
                <w:szCs w:val="24"/>
                <w:lang w:val="en"/>
              </w:rPr>
              <w:t>@duke.edu</w:t>
            </w:r>
          </w:p>
        </w:tc>
      </w:tr>
      <w:tr w:rsidR="4A7CC396" w:rsidTr="4A7CC396" w14:paraId="65511C3F">
        <w:trPr>
          <w:cantSplit w:val="0"/>
          <w:tblHeader w:val="0"/>
          <w:trHeight w:val="300"/>
        </w:trPr>
        <w:tc>
          <w:tcPr>
            <w:tcW w:w="3271" w:type="dxa"/>
            <w:tcBorders>
              <w:top w:val="none" w:color="000000" w:themeColor="text1" w:sz="12"/>
              <w:left w:val="none" w:color="000000" w:themeColor="text1" w:sz="12"/>
              <w:bottom w:val="none" w:color="000000" w:themeColor="text1" w:sz="12"/>
              <w:right w:val="none" w:color="000000" w:themeColor="text1" w:sz="12"/>
            </w:tcBorders>
            <w:tcMar/>
          </w:tcPr>
          <w:p w:rsidR="2CBCCB6C" w:rsidP="4A7CC396" w:rsidRDefault="2CBCCB6C" w14:paraId="780211F0" w14:textId="72BF16B0">
            <w:pPr>
              <w:pStyle w:val="Normal"/>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pacing w:before="0" w:after="240" w:line="240" w:lineRule="auto"/>
              <w:jc w:val="center"/>
              <w:rPr>
                <w:rFonts w:ascii="Times New Roman" w:hAnsi="Times New Roman" w:eastAsia="Times New Roman" w:cs="Times New Roman"/>
                <w:noProof w:val="0"/>
                <w:color w:val="000000" w:themeColor="text1" w:themeTint="FF" w:themeShade="FF"/>
                <w:sz w:val="24"/>
                <w:szCs w:val="24"/>
                <w:lang w:val="en-US"/>
              </w:rPr>
            </w:pPr>
            <w:r w:rsidRPr="4A7CC396" w:rsidR="2CBCCB6C">
              <w:rPr>
                <w:rFonts w:ascii="Times New Roman" w:hAnsi="Times New Roman" w:eastAsia="Times New Roman" w:cs="Times New Roman"/>
                <w:noProof w:val="0"/>
                <w:color w:val="000000" w:themeColor="text1" w:themeTint="FF" w:themeShade="FF"/>
                <w:sz w:val="24"/>
                <w:szCs w:val="24"/>
                <w:lang w:val="en-US"/>
              </w:rPr>
              <w:t>Arty Baglai</w:t>
            </w:r>
            <w:r>
              <w:br/>
            </w:r>
            <w:r w:rsidRPr="4A7CC396" w:rsidR="2CBCCB6C">
              <w:rPr>
                <w:rFonts w:ascii="Times New Roman" w:hAnsi="Times New Roman" w:eastAsia="Times New Roman" w:cs="Times New Roman"/>
                <w:i w:val="1"/>
                <w:iCs w:val="1"/>
                <w:noProof w:val="0"/>
                <w:color w:val="000000" w:themeColor="text1" w:themeTint="FF" w:themeShade="FF"/>
                <w:sz w:val="24"/>
                <w:szCs w:val="24"/>
                <w:lang w:val="en-US"/>
              </w:rPr>
              <w:t>Duke University</w:t>
            </w:r>
            <w:r>
              <w:br/>
            </w:r>
            <w:r w:rsidRPr="4A7CC396" w:rsidR="2CBCCB6C">
              <w:rPr>
                <w:rFonts w:ascii="Times New Roman" w:hAnsi="Times New Roman" w:eastAsia="Times New Roman" w:cs="Times New Roman"/>
                <w:noProof w:val="0"/>
                <w:color w:val="000000" w:themeColor="text1" w:themeTint="FF" w:themeShade="FF"/>
                <w:sz w:val="24"/>
                <w:szCs w:val="24"/>
                <w:lang w:val="en-US"/>
              </w:rPr>
              <w:t>arty.baglai@duke.edu</w:t>
            </w:r>
          </w:p>
        </w:tc>
        <w:tc>
          <w:tcPr>
            <w:tcW w:w="3273" w:type="dxa"/>
            <w:tcBorders>
              <w:top w:val="none" w:color="000000" w:themeColor="text1" w:sz="12"/>
              <w:left w:val="none" w:color="000000" w:themeColor="text1" w:sz="12"/>
              <w:bottom w:val="none" w:color="000000" w:themeColor="text1" w:sz="12"/>
              <w:right w:val="none" w:color="000000" w:themeColor="text1" w:sz="12"/>
            </w:tcBorders>
            <w:tcMar/>
          </w:tcPr>
          <w:p w:rsidR="4A7CC396" w:rsidP="4A7CC396" w:rsidRDefault="4A7CC396" w14:paraId="5EA920C9" w14:textId="03B5896C">
            <w:pPr>
              <w:pStyle w:val="Normal"/>
              <w:spacing w:line="240" w:lineRule="auto"/>
              <w:jc w:val="center"/>
              <w:rPr>
                <w:rFonts w:ascii="Times New Roman" w:hAnsi="Times New Roman" w:eastAsia="Times New Roman" w:cs="Times New Roman"/>
                <w:noProof w:val="0"/>
                <w:color w:val="000000" w:themeColor="text1" w:themeTint="FF" w:themeShade="FF"/>
                <w:sz w:val="24"/>
                <w:szCs w:val="24"/>
                <w:lang w:val="en-US"/>
              </w:rPr>
            </w:pPr>
          </w:p>
        </w:tc>
        <w:tc>
          <w:tcPr>
            <w:tcW w:w="3276" w:type="dxa"/>
            <w:tcBorders>
              <w:top w:val="none" w:color="000000" w:themeColor="text1" w:sz="12"/>
              <w:left w:val="none" w:color="000000" w:themeColor="text1" w:sz="12"/>
              <w:bottom w:val="none" w:color="000000" w:themeColor="text1" w:sz="12"/>
              <w:right w:val="none" w:color="000000" w:themeColor="text1" w:sz="12"/>
            </w:tcBorders>
            <w:tcMar/>
          </w:tcPr>
          <w:p w:rsidR="4A7CC396" w:rsidP="4A7CC396" w:rsidRDefault="4A7CC396" w14:paraId="6A5B9B09" w14:textId="3702013D">
            <w:pPr>
              <w:pStyle w:val="Normal"/>
              <w:spacing w:line="240" w:lineRule="auto"/>
              <w:jc w:val="center"/>
              <w:rPr>
                <w:rFonts w:ascii="Times New Roman" w:hAnsi="Times New Roman" w:eastAsia="Times New Roman" w:cs="Times New Roman"/>
                <w:noProof w:val="0"/>
                <w:color w:val="000000" w:themeColor="text1" w:themeTint="FF" w:themeShade="FF"/>
                <w:sz w:val="24"/>
                <w:szCs w:val="24"/>
                <w:lang w:val="en"/>
              </w:rPr>
            </w:pPr>
          </w:p>
        </w:tc>
      </w:tr>
    </w:tbl>
    <w:p xmlns:wp14="http://schemas.microsoft.com/office/word/2010/wordml" w:rsidRDefault="00000000" w14:paraId="00000009" wp14:textId="77777777">
      <w:pPr>
        <w:rPr/>
      </w:pPr>
      <w:r>
        <w:rPr>
          <w:rtl w:val="0"/>
        </w:rPr>
      </w:r>
    </w:p>
    <w:p xmlns:wp14="http://schemas.microsoft.com/office/word/2010/wordml" w:rsidRDefault="00000000" w14:paraId="0000000A" wp14:textId="77777777">
      <w:pPr>
        <w:rPr/>
        <w:sectPr>
          <w:footerReference w:type="first" r:id="rId9"/>
          <w:pgSz w:w="12240" w:h="15840" w:orient="portrait"/>
          <w:pgMar w:top="1440" w:right="1210" w:bottom="1440" w:left="1210" w:header="720" w:footer="720"/>
          <w:pgNumType w:start="1"/>
          <w:titlePg w:val="1"/>
          <w:cols w:num="1"/>
        </w:sectPr>
      </w:pPr>
      <w:r>
        <w:rPr>
          <w:rtl w:val="0"/>
        </w:rPr>
      </w:r>
    </w:p>
    <w:p xmlns:wp14="http://schemas.microsoft.com/office/word/2010/wordml" w:rsidP="0BB6A513" w:rsidRDefault="00000000" w14:paraId="0000000C" wp14:textId="78D14A1E">
      <w:pPr>
        <w:keepNext w:val="0"/>
        <w:keepLines w:val="0"/>
        <w:pageBreakBefore w:val="0"/>
        <w:widowControl w:val="1"/>
        <w:spacing w:before="0" w:after="240" w:afterAutospacing="off" w:line="240" w:lineRule="auto"/>
        <w:ind/>
        <w:jc w:val="both"/>
      </w:pPr>
      <w:r w:rsidRPr="0BB6A513" w:rsidR="2DE482C4">
        <w:rPr>
          <w:rFonts w:ascii="Times New Roman" w:hAnsi="Times New Roman" w:eastAsia="Times New Roman" w:cs="Times New Roman"/>
          <w:b w:val="1"/>
          <w:bCs w:val="1"/>
          <w:i w:val="1"/>
          <w:iCs w:val="1"/>
          <w:caps w:val="0"/>
          <w:smallCaps w:val="0"/>
          <w:strike w:val="0"/>
          <w:dstrike w:val="0"/>
          <w:color w:val="000000" w:themeColor="text1" w:themeTint="FF" w:themeShade="FF"/>
          <w:sz w:val="20"/>
          <w:szCs w:val="20"/>
          <w:u w:val="none"/>
          <w:vertAlign w:val="baseline"/>
          <w:lang w:val="en-US"/>
        </w:rPr>
        <w:t xml:space="preserve">Abstract - </w:t>
      </w:r>
      <w:r w:rsidRPr="0BB6A513" w:rsidR="6E80701C">
        <w:rPr>
          <w:rFonts w:ascii="Aptos" w:hAnsi="Aptos" w:eastAsia="Aptos" w:cs="Aptos"/>
          <w:b w:val="1"/>
          <w:bCs w:val="1"/>
          <w:i w:val="1"/>
          <w:iCs w:val="1"/>
          <w:noProof w:val="0"/>
          <w:color w:val="000000" w:themeColor="text1" w:themeTint="FF" w:themeShade="FF"/>
          <w:sz w:val="20"/>
          <w:szCs w:val="20"/>
          <w:lang w:val="en-US"/>
        </w:rPr>
        <w:t xml:space="preserve">Cybersecurity maturity assessments are essential for organizations </w:t>
      </w:r>
      <w:r w:rsidRPr="0BB6A513" w:rsidR="6E80701C">
        <w:rPr>
          <w:rFonts w:ascii="Aptos" w:hAnsi="Aptos" w:eastAsia="Aptos" w:cs="Aptos"/>
          <w:b w:val="1"/>
          <w:bCs w:val="1"/>
          <w:i w:val="1"/>
          <w:iCs w:val="1"/>
          <w:noProof w:val="0"/>
          <w:color w:val="000000" w:themeColor="text1" w:themeTint="FF" w:themeShade="FF"/>
          <w:sz w:val="20"/>
          <w:szCs w:val="20"/>
          <w:lang w:val="en-US"/>
        </w:rPr>
        <w:t>seeking</w:t>
      </w:r>
      <w:r w:rsidRPr="0BB6A513" w:rsidR="6E80701C">
        <w:rPr>
          <w:rFonts w:ascii="Aptos" w:hAnsi="Aptos" w:eastAsia="Aptos" w:cs="Aptos"/>
          <w:b w:val="1"/>
          <w:bCs w:val="1"/>
          <w:i w:val="1"/>
          <w:iCs w:val="1"/>
          <w:noProof w:val="0"/>
          <w:color w:val="000000" w:themeColor="text1" w:themeTint="FF" w:themeShade="FF"/>
          <w:sz w:val="20"/>
          <w:szCs w:val="20"/>
          <w:lang w:val="en-US"/>
        </w:rPr>
        <w:t xml:space="preserve"> to understand their preparedness against evolving threats, yet in practice they are costly, time-intensive, and demand specialist knowledge across multiple frameworks simultaneously. This paper presents GRC-LLM, a </w:t>
      </w:r>
      <w:r w:rsidRPr="0BB6A513" w:rsidR="6E80701C">
        <w:rPr>
          <w:rFonts w:ascii="Aptos" w:hAnsi="Aptos" w:eastAsia="Aptos" w:cs="Aptos"/>
          <w:b w:val="1"/>
          <w:bCs w:val="1"/>
          <w:i w:val="1"/>
          <w:iCs w:val="1"/>
          <w:noProof w:val="0"/>
          <w:color w:val="000000" w:themeColor="text1" w:themeTint="FF" w:themeShade="FF"/>
          <w:sz w:val="20"/>
          <w:szCs w:val="20"/>
          <w:lang w:val="en-US"/>
        </w:rPr>
        <w:t>proof of concept</w:t>
      </w:r>
      <w:r w:rsidRPr="0BB6A513" w:rsidR="6E80701C">
        <w:rPr>
          <w:rFonts w:ascii="Aptos" w:hAnsi="Aptos" w:eastAsia="Aptos" w:cs="Aptos"/>
          <w:b w:val="1"/>
          <w:bCs w:val="1"/>
          <w:i w:val="1"/>
          <w:iCs w:val="1"/>
          <w:noProof w:val="0"/>
          <w:color w:val="000000" w:themeColor="text1" w:themeTint="FF" w:themeShade="FF"/>
          <w:sz w:val="20"/>
          <w:szCs w:val="20"/>
          <w:lang w:val="en-US"/>
        </w:rPr>
        <w:t xml:space="preserve"> system that uses a large language model (LLM) to semi-automate cybersecurity maturity assessments by mapping organizational security policies against nine widely recognized security frameworks, including NIST CSF, NIST 800-53, ISO 27001, CIS CSC, CMMC, HIPAA, PCI-DSS, CSA-CCM, and the FTC Safeguards Rule. For each framework control, the system retrieves the most semantically relevant passages from the submitted policy through a retrieval-augmented generation (RAG) pipeline and returns a structured JSON output containing a maturity score on a 0 to 5 scale, evidence extracted directly from the policy, identified gaps, and remediation recommendations. Unlike existing governance, risk, and compliance (GRC) tools that target a single framework or rely on keyword matching, GRC-LLM unifies multi-framework assessment, semantic policy analysis, and structured maturity scoring within a single auditable pipeline. Low-confidence mappings are flagged for mandatory human review, ensuring no output is </w:t>
      </w:r>
      <w:r w:rsidRPr="0BB6A513" w:rsidR="6E80701C">
        <w:rPr>
          <w:rFonts w:ascii="Aptos" w:hAnsi="Aptos" w:eastAsia="Aptos" w:cs="Aptos"/>
          <w:b w:val="1"/>
          <w:bCs w:val="1"/>
          <w:i w:val="1"/>
          <w:iCs w:val="1"/>
          <w:noProof w:val="0"/>
          <w:color w:val="000000" w:themeColor="text1" w:themeTint="FF" w:themeShade="FF"/>
          <w:sz w:val="20"/>
          <w:szCs w:val="20"/>
          <w:lang w:val="en-US"/>
        </w:rPr>
        <w:t>finalized</w:t>
      </w:r>
      <w:r w:rsidRPr="0BB6A513" w:rsidR="6E80701C">
        <w:rPr>
          <w:rFonts w:ascii="Aptos" w:hAnsi="Aptos" w:eastAsia="Aptos" w:cs="Aptos"/>
          <w:b w:val="1"/>
          <w:bCs w:val="1"/>
          <w:i w:val="1"/>
          <w:iCs w:val="1"/>
          <w:noProof w:val="0"/>
          <w:color w:val="000000" w:themeColor="text1" w:themeTint="FF" w:themeShade="FF"/>
          <w:sz w:val="20"/>
          <w:szCs w:val="20"/>
          <w:lang w:val="en-US"/>
        </w:rPr>
        <w:t xml:space="preserve"> without explicit analyst approval. The system was evaluated across three base LLMs, Claude, GPT-4.1, and Llama 4 Maverick, on two real organizational security policies </w:t>
      </w:r>
      <w:r w:rsidRPr="0BB6A513" w:rsidR="6E80701C">
        <w:rPr>
          <w:rFonts w:ascii="Aptos" w:hAnsi="Aptos" w:eastAsia="Aptos" w:cs="Aptos"/>
          <w:b w:val="1"/>
          <w:bCs w:val="1"/>
          <w:i w:val="1"/>
          <w:iCs w:val="1"/>
          <w:noProof w:val="0"/>
          <w:color w:val="000000" w:themeColor="text1" w:themeTint="FF" w:themeShade="FF"/>
          <w:sz w:val="20"/>
          <w:szCs w:val="20"/>
          <w:lang w:val="en-US"/>
        </w:rPr>
        <w:t>representing</w:t>
      </w:r>
      <w:r w:rsidRPr="0BB6A513" w:rsidR="6E80701C">
        <w:rPr>
          <w:rFonts w:ascii="Aptos" w:hAnsi="Aptos" w:eastAsia="Aptos" w:cs="Aptos"/>
          <w:b w:val="1"/>
          <w:bCs w:val="1"/>
          <w:i w:val="1"/>
          <w:iCs w:val="1"/>
          <w:noProof w:val="0"/>
          <w:color w:val="000000" w:themeColor="text1" w:themeTint="FF" w:themeShade="FF"/>
          <w:sz w:val="20"/>
          <w:szCs w:val="20"/>
          <w:lang w:val="en-US"/>
        </w:rPr>
        <w:t xml:space="preserve"> private and public sector contexts, with Claude achieving the strongest overall output-quality profile and the most conservative maturity-scoring behavior under weak evidence. This tool is designed to augment, not replace, the judgment of security professionals.</w:t>
      </w:r>
    </w:p>
    <w:p xmlns:wp14="http://schemas.microsoft.com/office/word/2010/wordml" w:rsidP="4C15D6E0" w:rsidRDefault="00000000" w14:paraId="0000000D" wp14:textId="1F362A7F">
      <w:pPr>
        <w:keepNext w:val="0"/>
        <w:keepLines w:val="0"/>
        <w:pageBreakBefore w:val="0"/>
        <w:widowControl w:val="1"/>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0" w:right="0" w:firstLine="0"/>
        <w:jc w:val="both"/>
        <w:rPr>
          <w:rFonts w:ascii="Times New Roman" w:hAnsi="Times New Roman" w:eastAsia="Times New Roman" w:cs="Times New Roman"/>
          <w:b w:val="1"/>
          <w:bCs w:val="1"/>
          <w:i w:val="1"/>
          <w:iCs w:val="1"/>
          <w:caps w:val="0"/>
          <w:smallCaps w:val="0"/>
          <w:strike w:val="0"/>
          <w:dstrike w:val="0"/>
          <w:color w:val="000000"/>
          <w:sz w:val="20"/>
          <w:szCs w:val="20"/>
          <w:u w:val="none"/>
          <w:shd w:val="clear" w:fill="auto"/>
          <w:vertAlign w:val="baseline"/>
          <w:lang w:val="en-US"/>
        </w:rPr>
      </w:pPr>
      <w:r w:rsidRPr="4C15D6E0" w:rsidR="3862AC3D">
        <w:rPr>
          <w:rFonts w:ascii="Times New Roman" w:hAnsi="Times New Roman" w:eastAsia="Times New Roman" w:cs="Times New Roman"/>
          <w:b w:val="1"/>
          <w:bCs w:val="1"/>
          <w:i w:val="1"/>
          <w:iCs w:val="1"/>
          <w:caps w:val="0"/>
          <w:smallCaps w:val="0"/>
          <w:strike w:val="0"/>
          <w:dstrike w:val="0"/>
          <w:color w:val="000000" w:themeColor="text1" w:themeTint="FF" w:themeShade="FF"/>
          <w:sz w:val="20"/>
          <w:szCs w:val="20"/>
          <w:u w:val="none"/>
          <w:vertAlign w:val="baseline"/>
          <w:lang w:val="en-US"/>
        </w:rPr>
        <w:t xml:space="preserve">Index Terms</w:t>
      </w:r>
      <w:r w:rsidRPr="4C15D6E0" w:rsidR="43F3E4A9">
        <w:rPr>
          <w:rFonts w:ascii="Times New Roman" w:hAnsi="Times New Roman" w:eastAsia="Times New Roman" w:cs="Times New Roman"/>
          <w:b w:val="1"/>
          <w:bCs w:val="1"/>
          <w:i w:val="1"/>
          <w:iCs w:val="1"/>
          <w:caps w:val="0"/>
          <w:smallCaps w:val="0"/>
          <w:strike w:val="0"/>
          <w:dstrike w:val="0"/>
          <w:color w:val="000000" w:themeColor="text1" w:themeTint="FF" w:themeShade="FF"/>
          <w:sz w:val="20"/>
          <w:szCs w:val="20"/>
          <w:u w:val="none"/>
          <w:vertAlign w:val="baseline"/>
          <w:lang w:val="en-US"/>
        </w:rPr>
        <w:t xml:space="preserve"> - </w:t>
      </w:r>
      <w:r w:rsidRPr="4C15D6E0" w:rsidR="3862AC3D">
        <w:rPr>
          <w:b w:val="1"/>
          <w:bCs w:val="1"/>
          <w:i w:val="1"/>
          <w:iCs w:val="1"/>
          <w:lang w:val="en-US"/>
        </w:rPr>
        <w:t>Cybersecurity maturity assessment, governance risk and compliance automation, human-in-the-loop artificial intelligence, large language model policy analysis, retrieval-augmented generation.</w:t>
      </w:r>
      <w:r>
        <w:rPr>
          <w:rtl w:val="0"/>
        </w:rPr>
      </w:r>
    </w:p>
    <w:p xmlns:wp14="http://schemas.microsoft.com/office/word/2010/wordml" w:rsidP="22145F25" w:rsidRDefault="00000000" w14:paraId="0000000E" wp14:textId="77777777">
      <w:pPr>
        <w:pStyle w:val="Heading1"/>
        <w:rPr>
          <w:rFonts w:ascii="Times New Roman" w:hAnsi="Times New Roman" w:eastAsia="Times New Roman" w:cs="Times New Roman"/>
          <w:i w:val="1"/>
          <w:iCs w:val="1"/>
          <w:sz w:val="18"/>
          <w:szCs w:val="18"/>
        </w:rPr>
      </w:pPr>
      <w:bookmarkStart w:name="_heading=h.ywa61v445073" w:colFirst="0" w:colLast="0" w:id="2"/>
      <w:bookmarkEnd w:id="2"/>
      <w:r w:rsidR="1AC55103">
        <w:rPr/>
        <w:t xml:space="preserve">Introduction</w:t>
      </w:r>
      <w:r>
        <w:rPr>
          <w:rtl w:val="0"/>
        </w:rPr>
      </w:r>
    </w:p>
    <w:p w:rsidR="76AA9030" w:rsidP="11C5856B" w:rsidRDefault="76AA9030" w14:paraId="44931D38" w14:textId="6A3D3437">
      <w:pPr>
        <w:jc w:val="both"/>
      </w:pPr>
      <w:r w:rsidRPr="654048B6" w:rsidR="549EDCAA">
        <w:rPr>
          <w:rFonts w:ascii="Aptos" w:hAnsi="Aptos" w:eastAsia="Aptos" w:cs="Aptos"/>
          <w:noProof w:val="0"/>
          <w:color w:val="000000" w:themeColor="text1" w:themeTint="FF" w:themeShade="FF"/>
          <w:sz w:val="20"/>
          <w:szCs w:val="20"/>
          <w:lang w:val="en-US"/>
        </w:rPr>
        <w:t xml:space="preserve">Cybersecurity maturity assessments are essential for organizations </w:t>
      </w:r>
      <w:r w:rsidRPr="654048B6" w:rsidR="549EDCAA">
        <w:rPr>
          <w:rFonts w:ascii="Aptos" w:hAnsi="Aptos" w:eastAsia="Aptos" w:cs="Aptos"/>
          <w:noProof w:val="0"/>
          <w:color w:val="000000" w:themeColor="text1" w:themeTint="FF" w:themeShade="FF"/>
          <w:sz w:val="20"/>
          <w:szCs w:val="20"/>
          <w:lang w:val="en-US"/>
        </w:rPr>
        <w:t>seeking</w:t>
      </w:r>
      <w:r w:rsidRPr="654048B6" w:rsidR="549EDCAA">
        <w:rPr>
          <w:rFonts w:ascii="Aptos" w:hAnsi="Aptos" w:eastAsia="Aptos" w:cs="Aptos"/>
          <w:noProof w:val="0"/>
          <w:color w:val="000000" w:themeColor="text1" w:themeTint="FF" w:themeShade="FF"/>
          <w:sz w:val="20"/>
          <w:szCs w:val="20"/>
          <w:lang w:val="en-US"/>
        </w:rPr>
        <w:t xml:space="preserve"> to understand their preparedness against evolving threats. Yet in practice, they are costly, time-intensive, and demand specialist knowledge across multiple frameworks simultaneously. </w:t>
      </w:r>
      <w:r w:rsidRPr="654048B6" w:rsidR="5DB4D852">
        <w:rPr>
          <w:rFonts w:ascii="Aptos" w:hAnsi="Aptos" w:eastAsia="Aptos" w:cs="Aptos"/>
          <w:noProof w:val="0"/>
          <w:color w:val="000000" w:themeColor="text1" w:themeTint="FF" w:themeShade="FF"/>
          <w:sz w:val="20"/>
          <w:szCs w:val="20"/>
          <w:lang w:val="en-US"/>
        </w:rPr>
        <w:t xml:space="preserve">Industry estimates suggest that </w:t>
      </w:r>
      <w:r w:rsidRPr="654048B6" w:rsidR="5DB4D852">
        <w:rPr>
          <w:rFonts w:ascii="Aptos" w:hAnsi="Aptos" w:eastAsia="Aptos" w:cs="Aptos"/>
          <w:noProof w:val="0"/>
          <w:color w:val="000000" w:themeColor="text1" w:themeTint="FF" w:themeShade="FF"/>
          <w:sz w:val="20"/>
          <w:szCs w:val="20"/>
          <w:lang w:val="en-US"/>
        </w:rPr>
        <w:t>an initial</w:t>
      </w:r>
      <w:r w:rsidRPr="654048B6" w:rsidR="5DB4D852">
        <w:rPr>
          <w:rFonts w:ascii="Aptos" w:hAnsi="Aptos" w:eastAsia="Aptos" w:cs="Aptos"/>
          <w:noProof w:val="0"/>
          <w:color w:val="000000" w:themeColor="text1" w:themeTint="FF" w:themeShade="FF"/>
          <w:sz w:val="20"/>
          <w:szCs w:val="20"/>
          <w:lang w:val="en-US"/>
        </w:rPr>
        <w:t xml:space="preserve"> NIST CSF-aligned audit and assessment may cost between $5,000 and $20,000, while </w:t>
      </w:r>
      <w:r w:rsidRPr="654048B6" w:rsidR="5DB4D852">
        <w:rPr>
          <w:rFonts w:ascii="Aptos" w:hAnsi="Aptos" w:eastAsia="Aptos" w:cs="Aptos"/>
          <w:noProof w:val="0"/>
          <w:color w:val="000000" w:themeColor="text1" w:themeTint="FF" w:themeShade="FF"/>
          <w:sz w:val="20"/>
          <w:szCs w:val="20"/>
          <w:lang w:val="en-US"/>
        </w:rPr>
        <w:t>subsequent</w:t>
      </w:r>
      <w:r w:rsidRPr="654048B6" w:rsidR="5DB4D852">
        <w:rPr>
          <w:rFonts w:ascii="Aptos" w:hAnsi="Aptos" w:eastAsia="Aptos" w:cs="Aptos"/>
          <w:noProof w:val="0"/>
          <w:color w:val="000000" w:themeColor="text1" w:themeTint="FF" w:themeShade="FF"/>
          <w:sz w:val="20"/>
          <w:szCs w:val="20"/>
          <w:lang w:val="en-US"/>
        </w:rPr>
        <w:t xml:space="preserve"> remediation and security improvements can add $35,000 to $115,000 or more [23]. Similarly, ISO 27001 certification may cost between $10,000 and $75,000 or more over a three-year certification cycle, including preparation, implementation, initial certification audits, annual surveillance audits, and recertification [24]. </w:t>
      </w:r>
      <w:r w:rsidRPr="654048B6" w:rsidR="549EDCAA">
        <w:rPr>
          <w:rFonts w:ascii="Aptos" w:hAnsi="Aptos" w:eastAsia="Aptos" w:cs="Aptos"/>
          <w:noProof w:val="0"/>
          <w:color w:val="000000" w:themeColor="text1" w:themeTint="FF" w:themeShade="FF"/>
          <w:sz w:val="20"/>
          <w:szCs w:val="20"/>
          <w:lang w:val="en-US"/>
        </w:rPr>
        <w:t xml:space="preserve">This cost and effort multiply when frameworks overlap, since gaps </w:t>
      </w:r>
      <w:r w:rsidRPr="654048B6" w:rsidR="549EDCAA">
        <w:rPr>
          <w:rFonts w:ascii="Aptos" w:hAnsi="Aptos" w:eastAsia="Aptos" w:cs="Aptos"/>
          <w:noProof w:val="0"/>
          <w:color w:val="000000" w:themeColor="text1" w:themeTint="FF" w:themeShade="FF"/>
          <w:sz w:val="20"/>
          <w:szCs w:val="20"/>
          <w:lang w:val="en-US"/>
        </w:rPr>
        <w:t>identified</w:t>
      </w:r>
      <w:r w:rsidRPr="654048B6" w:rsidR="549EDCAA">
        <w:rPr>
          <w:rFonts w:ascii="Aptos" w:hAnsi="Aptos" w:eastAsia="Aptos" w:cs="Aptos"/>
          <w:noProof w:val="0"/>
          <w:color w:val="000000" w:themeColor="text1" w:themeTint="FF" w:themeShade="FF"/>
          <w:sz w:val="20"/>
          <w:szCs w:val="20"/>
          <w:lang w:val="en-US"/>
        </w:rPr>
        <w:t xml:space="preserve"> against one framework </w:t>
      </w:r>
      <w:r w:rsidRPr="654048B6" w:rsidR="549EDCAA">
        <w:rPr>
          <w:rFonts w:ascii="Aptos" w:hAnsi="Aptos" w:eastAsia="Aptos" w:cs="Aptos"/>
          <w:noProof w:val="0"/>
          <w:color w:val="000000" w:themeColor="text1" w:themeTint="FF" w:themeShade="FF"/>
          <w:sz w:val="20"/>
          <w:szCs w:val="20"/>
          <w:lang w:val="en-US"/>
        </w:rPr>
        <w:t>frequently</w:t>
      </w:r>
      <w:r w:rsidRPr="654048B6" w:rsidR="549EDCAA">
        <w:rPr>
          <w:rFonts w:ascii="Aptos" w:hAnsi="Aptos" w:eastAsia="Aptos" w:cs="Aptos"/>
          <w:noProof w:val="0"/>
          <w:color w:val="000000" w:themeColor="text1" w:themeTint="FF" w:themeShade="FF"/>
          <w:sz w:val="20"/>
          <w:szCs w:val="20"/>
          <w:lang w:val="en-US"/>
        </w:rPr>
        <w:t xml:space="preserve"> cascade into non-compliance findings against another, requiring analysts to repeat evidence collection and reconcile inconsistent control mappings across each </w:t>
      </w:r>
      <w:r w:rsidRPr="654048B6" w:rsidR="549EDCAA">
        <w:rPr>
          <w:rFonts w:ascii="Aptos" w:hAnsi="Aptos" w:eastAsia="Aptos" w:cs="Aptos"/>
          <w:noProof w:val="0"/>
          <w:color w:val="000000" w:themeColor="text1" w:themeTint="FF" w:themeShade="FF"/>
          <w:sz w:val="20"/>
          <w:szCs w:val="20"/>
          <w:lang w:val="en-US"/>
        </w:rPr>
        <w:t>additional</w:t>
      </w:r>
      <w:r w:rsidRPr="654048B6" w:rsidR="549EDCAA">
        <w:rPr>
          <w:rFonts w:ascii="Aptos" w:hAnsi="Aptos" w:eastAsia="Aptos" w:cs="Aptos"/>
          <w:noProof w:val="0"/>
          <w:color w:val="000000" w:themeColor="text1" w:themeTint="FF" w:themeShade="FF"/>
          <w:sz w:val="20"/>
          <w:szCs w:val="20"/>
          <w:lang w:val="en-US"/>
        </w:rPr>
        <w:t xml:space="preserve"> standard. It is therefore unsurprising that </w:t>
      </w:r>
      <w:r w:rsidRPr="654048B6" w:rsidR="3A2F6705">
        <w:rPr>
          <w:rFonts w:ascii="Aptos" w:hAnsi="Aptos" w:eastAsia="Aptos" w:cs="Aptos"/>
          <w:noProof w:val="0"/>
          <w:color w:val="000000" w:themeColor="text1" w:themeTint="FF" w:themeShade="FF"/>
          <w:sz w:val="20"/>
          <w:szCs w:val="20"/>
          <w:lang w:val="en-US"/>
        </w:rPr>
        <w:t xml:space="preserve">nearly 70% of service organizations now need to </w:t>
      </w:r>
      <w:r w:rsidRPr="654048B6" w:rsidR="3A2F6705">
        <w:rPr>
          <w:rFonts w:ascii="Aptos" w:hAnsi="Aptos" w:eastAsia="Aptos" w:cs="Aptos"/>
          <w:noProof w:val="0"/>
          <w:color w:val="000000" w:themeColor="text1" w:themeTint="FF" w:themeShade="FF"/>
          <w:sz w:val="20"/>
          <w:szCs w:val="20"/>
          <w:lang w:val="en-US"/>
        </w:rPr>
        <w:t>demonstrate compliance across at least six frameworks simultaneously (</w:t>
      </w:r>
      <w:r w:rsidRPr="654048B6" w:rsidR="3A2F6705">
        <w:rPr>
          <w:rFonts w:ascii="Aptos" w:hAnsi="Aptos" w:eastAsia="Aptos" w:cs="Aptos"/>
          <w:noProof w:val="0"/>
          <w:color w:val="000000" w:themeColor="text1" w:themeTint="FF" w:themeShade="FF"/>
          <w:sz w:val="20"/>
          <w:szCs w:val="20"/>
          <w:lang w:val="en-US"/>
        </w:rPr>
        <w:t>Coalfire</w:t>
      </w:r>
      <w:r w:rsidRPr="654048B6" w:rsidR="3A2F6705">
        <w:rPr>
          <w:rFonts w:ascii="Aptos" w:hAnsi="Aptos" w:eastAsia="Aptos" w:cs="Aptos"/>
          <w:noProof w:val="0"/>
          <w:color w:val="000000" w:themeColor="text1" w:themeTint="FF" w:themeShade="FF"/>
          <w:sz w:val="20"/>
          <w:szCs w:val="20"/>
          <w:lang w:val="en-US"/>
        </w:rPr>
        <w:t>, 2023) [1], spanning standards such as NIST CSF, HIPAA, PCI-DSS, ISO 27001, CMMC, and the FTC Safeguards Rule, a figure that rises each year as new regulations emerge.</w:t>
      </w:r>
    </w:p>
    <w:p w:rsidR="76AA9030" w:rsidP="11C5856B" w:rsidRDefault="76AA9030" w14:paraId="54217EAD" w14:textId="497D36F6">
      <w:pPr>
        <w:jc w:val="both"/>
      </w:pPr>
      <w:r w:rsidRPr="0BB6A513" w:rsidR="549EDCAA">
        <w:rPr>
          <w:rFonts w:ascii="Aptos" w:hAnsi="Aptos" w:eastAsia="Aptos" w:cs="Aptos"/>
          <w:noProof w:val="0"/>
          <w:color w:val="000000" w:themeColor="text1" w:themeTint="FF" w:themeShade="FF"/>
          <w:sz w:val="20"/>
          <w:szCs w:val="20"/>
          <w:lang w:val="en-US"/>
        </w:rPr>
        <w:t xml:space="preserve">The structural conditions driving this burden are well-documented. </w:t>
      </w:r>
      <w:r w:rsidRPr="0BB6A513" w:rsidR="549EDCAA">
        <w:rPr>
          <w:rFonts w:ascii="Aptos" w:hAnsi="Aptos" w:eastAsia="Aptos" w:cs="Aptos"/>
          <w:noProof w:val="0"/>
          <w:color w:val="000000" w:themeColor="text1" w:themeTint="FF" w:themeShade="FF"/>
          <w:sz w:val="20"/>
          <w:szCs w:val="20"/>
          <w:lang w:val="en-US"/>
        </w:rPr>
        <w:t>The global cybersecurity workforce gap stood at 4.8 million professionals in 2024, a 19% year-on-year increase, with 90% of organizations reporting skills shortages within their security teams [2].</w:t>
      </w:r>
      <w:r w:rsidRPr="0BB6A513" w:rsidR="549EDCAA">
        <w:rPr>
          <w:rFonts w:ascii="Aptos" w:hAnsi="Aptos" w:eastAsia="Aptos" w:cs="Aptos"/>
          <w:noProof w:val="0"/>
          <w:color w:val="000000" w:themeColor="text1" w:themeTint="FF" w:themeShade="FF"/>
          <w:sz w:val="20"/>
          <w:szCs w:val="20"/>
          <w:lang w:val="en-US"/>
        </w:rPr>
        <w:t xml:space="preserve"> This shortage directly constrains the capacity of security teams to conduct assessments continuously, even as cyber incidents rank as the top operational threat across sectors [3]. The consequences are measurable: 40% of organizations report security incidents as a direct result of reactive or manual compliance approaches [4], and the average cost of a data breach reached $4.88 million in 2024 [5]. For organizations operating under resource pressure, the overhead of continuous multi-framework assessment is not merely inconvenient, it is structurally unachievable.</w:t>
      </w:r>
    </w:p>
    <w:p w:rsidR="7E76C6C8" w:rsidP="0BB6A513" w:rsidRDefault="7E76C6C8" w14:paraId="1BBC1263" w14:textId="51C62AEC">
      <w:pPr>
        <w:jc w:val="both"/>
      </w:pPr>
      <w:r w:rsidRPr="0BB6A513" w:rsidR="7E76C6C8">
        <w:rPr>
          <w:rFonts w:ascii="Aptos" w:hAnsi="Aptos" w:eastAsia="Aptos" w:cs="Aptos"/>
          <w:noProof w:val="0"/>
          <w:color w:val="000000" w:themeColor="text1" w:themeTint="FF" w:themeShade="FF"/>
          <w:sz w:val="20"/>
          <w:szCs w:val="20"/>
          <w:lang w:val="en-US"/>
        </w:rPr>
        <w:t>To address these challenges, this study investigates whether LLM-assisted analysis can reduce the manual effort required to assess organizational security policies across multiple cybersecurity frameworks, and evaluates whether the resulting assessments demonstrate sufficient output quality, evidentiary grounding, and consistency to serve as a reliable starting point for expert review. The proposed GRC-LLM prototype combines semantic policy analysis, evidence retrieval, and structured maturity scoring within a single assessment workflow. Rather than replacing cybersecurity professionals, the system is designed to support analysts by identifying relevant policy evidence, highlighting potential control gaps, and generating preliminary recommendations that remain subject to human review. The primary contribution of this work is therefore the design and evaluation of an auditable, human-in-the-loop approach to multi-framework cybersecurity maturity assessment.</w:t>
      </w:r>
    </w:p>
    <w:p w:rsidR="76AA9030" w:rsidP="11C5856B" w:rsidRDefault="76AA9030" w14:paraId="2FE1E53D" w14:textId="146F9430">
      <w:pPr>
        <w:jc w:val="both"/>
      </w:pPr>
      <w:r w:rsidRPr="654048B6" w:rsidR="549EDCAA">
        <w:rPr>
          <w:rFonts w:ascii="Aptos" w:hAnsi="Aptos" w:eastAsia="Aptos" w:cs="Aptos"/>
          <w:noProof w:val="0"/>
          <w:color w:val="000000" w:themeColor="text1" w:themeTint="FF" w:themeShade="FF"/>
          <w:sz w:val="20"/>
          <w:szCs w:val="20"/>
          <w:lang w:val="en-US"/>
        </w:rPr>
        <w:t xml:space="preserve">This project </w:t>
      </w:r>
      <w:r w:rsidRPr="654048B6" w:rsidR="549EDCAA">
        <w:rPr>
          <w:rFonts w:ascii="Aptos" w:hAnsi="Aptos" w:eastAsia="Aptos" w:cs="Aptos"/>
          <w:noProof w:val="0"/>
          <w:color w:val="000000" w:themeColor="text1" w:themeTint="FF" w:themeShade="FF"/>
          <w:sz w:val="20"/>
          <w:szCs w:val="20"/>
          <w:lang w:val="en-US"/>
        </w:rPr>
        <w:t>builds on</w:t>
      </w:r>
      <w:r w:rsidRPr="654048B6" w:rsidR="549EDCAA">
        <w:rPr>
          <w:rFonts w:ascii="Aptos" w:hAnsi="Aptos" w:eastAsia="Aptos" w:cs="Aptos"/>
          <w:noProof w:val="0"/>
          <w:color w:val="000000" w:themeColor="text1" w:themeTint="FF" w:themeShade="FF"/>
          <w:sz w:val="20"/>
          <w:szCs w:val="20"/>
          <w:lang w:val="en-US"/>
        </w:rPr>
        <w:t xml:space="preserve"> a convergent body of scholarship spanning GRC automation, LLM applications in cybersecurity, RAG, cybersecurity maturity frameworks, and </w:t>
      </w:r>
      <w:r w:rsidRPr="654048B6" w:rsidR="549EDCAA">
        <w:rPr>
          <w:rFonts w:ascii="Aptos" w:hAnsi="Aptos" w:eastAsia="Aptos" w:cs="Aptos"/>
          <w:noProof w:val="0"/>
          <w:color w:val="000000" w:themeColor="text1" w:themeTint="FF" w:themeShade="FF"/>
          <w:sz w:val="20"/>
          <w:szCs w:val="20"/>
          <w:lang w:val="en-US"/>
        </w:rPr>
        <w:t>human-in-the-loop AI (HITL) governance</w:t>
      </w:r>
      <w:r w:rsidRPr="654048B6" w:rsidR="549EDCAA">
        <w:rPr>
          <w:rFonts w:ascii="Aptos" w:hAnsi="Aptos" w:eastAsia="Aptos" w:cs="Aptos"/>
          <w:noProof w:val="0"/>
          <w:color w:val="000000" w:themeColor="text1" w:themeTint="FF" w:themeShade="FF"/>
          <w:sz w:val="20"/>
          <w:szCs w:val="20"/>
          <w:lang w:val="en-US"/>
        </w:rPr>
        <w:t xml:space="preserve">. Research on the relationship between regulatory compliance and cybersecurity shows that organizations </w:t>
      </w:r>
      <w:r w:rsidRPr="654048B6" w:rsidR="549EDCAA">
        <w:rPr>
          <w:rFonts w:ascii="Aptos" w:hAnsi="Aptos" w:eastAsia="Aptos" w:cs="Aptos"/>
          <w:noProof w:val="0"/>
          <w:color w:val="000000" w:themeColor="text1" w:themeTint="FF" w:themeShade="FF"/>
          <w:sz w:val="20"/>
          <w:szCs w:val="20"/>
          <w:lang w:val="en-US"/>
        </w:rPr>
        <w:t>operating</w:t>
      </w:r>
      <w:r w:rsidRPr="654048B6" w:rsidR="549EDCAA">
        <w:rPr>
          <w:rFonts w:ascii="Aptos" w:hAnsi="Aptos" w:eastAsia="Aptos" w:cs="Aptos"/>
          <w:noProof w:val="0"/>
          <w:color w:val="000000" w:themeColor="text1" w:themeTint="FF" w:themeShade="FF"/>
          <w:sz w:val="20"/>
          <w:szCs w:val="20"/>
          <w:lang w:val="en-US"/>
        </w:rPr>
        <w:t xml:space="preserve"> under multiple concurrent regulatory regimes often face overlapping, conflicting, and context-dependent requirements, making compliance decisions difficult to operationalize consistently [6]. </w:t>
      </w:r>
      <w:r w:rsidRPr="654048B6" w:rsidR="549EDCAA">
        <w:rPr>
          <w:rFonts w:ascii="Aptos" w:hAnsi="Aptos" w:eastAsia="Aptos" w:cs="Aptos"/>
          <w:noProof w:val="0"/>
          <w:color w:val="000000" w:themeColor="text1" w:themeTint="FF" w:themeShade="FF"/>
          <w:sz w:val="20"/>
          <w:szCs w:val="20"/>
          <w:lang w:val="en-US"/>
        </w:rPr>
        <w:t>AI driven</w:t>
      </w:r>
      <w:r w:rsidRPr="654048B6" w:rsidR="549EDCAA">
        <w:rPr>
          <w:rFonts w:ascii="Aptos" w:hAnsi="Aptos" w:eastAsia="Aptos" w:cs="Aptos"/>
          <w:noProof w:val="0"/>
          <w:color w:val="000000" w:themeColor="text1" w:themeTint="FF" w:themeShade="FF"/>
          <w:sz w:val="20"/>
          <w:szCs w:val="20"/>
          <w:lang w:val="en-US"/>
        </w:rPr>
        <w:t xml:space="preserve"> workflows have also been shown to </w:t>
      </w:r>
      <w:r w:rsidRPr="654048B6" w:rsidR="549EDCAA">
        <w:rPr>
          <w:rFonts w:ascii="Aptos" w:hAnsi="Aptos" w:eastAsia="Aptos" w:cs="Aptos"/>
          <w:noProof w:val="0"/>
          <w:color w:val="000000" w:themeColor="text1" w:themeTint="FF" w:themeShade="FF"/>
          <w:sz w:val="20"/>
          <w:szCs w:val="20"/>
          <w:lang w:val="en-US"/>
        </w:rPr>
        <w:t>substantially reduce</w:t>
      </w:r>
      <w:r w:rsidRPr="654048B6" w:rsidR="549EDCAA">
        <w:rPr>
          <w:rFonts w:ascii="Aptos" w:hAnsi="Aptos" w:eastAsia="Aptos" w:cs="Aptos"/>
          <w:noProof w:val="0"/>
          <w:color w:val="000000" w:themeColor="text1" w:themeTint="FF" w:themeShade="FF"/>
          <w:sz w:val="20"/>
          <w:szCs w:val="20"/>
          <w:lang w:val="en-US"/>
        </w:rPr>
        <w:t xml:space="preserve"> assessment time and minimize the inconsistencies introduced by manual review [7, 8]. LLM based tools have been shown to materially outperform keyword-matching and rule-based systems in identifying compliance gaps within security policy documents [9], and RAG architectures consistently outperform standard LLM inference on knowledge-intensive tasks by grounding outputs in retrieved authoritative context rather than training data alone [10]. </w:t>
      </w:r>
      <w:r w:rsidRPr="654048B6" w:rsidR="549EDCAA">
        <w:rPr>
          <w:rFonts w:ascii="Aptos" w:hAnsi="Aptos" w:eastAsia="Aptos" w:cs="Aptos"/>
          <w:noProof w:val="0"/>
          <w:color w:val="000000" w:themeColor="text1" w:themeTint="FF" w:themeShade="FF"/>
          <w:sz w:val="20"/>
          <w:szCs w:val="20"/>
          <w:lang w:val="en-US"/>
        </w:rPr>
        <w:t>These findings directly informed the design of GRC-LLM, which uses document-grounded retrieval as its primary hallucination mitigation strategy, combined with structured JSON outputs that make each assessment traceable and auditable by a human reviewer.</w:t>
      </w:r>
    </w:p>
    <w:p xmlns:wp14="http://schemas.microsoft.com/office/word/2010/wordml" w:rsidRDefault="00000000" w14:paraId="00000012" wp14:textId="77777777">
      <w:pPr>
        <w:pStyle w:val="Heading1"/>
      </w:pPr>
      <w:r w:rsidR="1AC55103">
        <w:rPr/>
        <w:t xml:space="preserve">Literature Review</w:t>
      </w:r>
      <w:r>
        <w:rPr>
          <w:rtl w:val="0"/>
        </w:rPr>
      </w:r>
    </w:p>
    <w:p w:rsidR="0073FB05" w:rsidP="5C222896" w:rsidRDefault="0073FB05" w14:paraId="105DD707" w14:textId="594176E0">
      <w:pPr>
        <w:jc w:val="both"/>
        <w:rPr>
          <w:rFonts w:ascii="Aptos" w:hAnsi="Aptos" w:eastAsia="Aptos" w:cs="Aptos"/>
          <w:noProof w:val="0"/>
          <w:color w:val="000000" w:themeColor="text1" w:themeTint="FF" w:themeShade="FF"/>
          <w:sz w:val="20"/>
          <w:szCs w:val="20"/>
          <w:lang w:val="en-US"/>
        </w:rPr>
      </w:pPr>
      <w:r w:rsidRPr="654048B6" w:rsidR="54C3378C">
        <w:rPr>
          <w:rFonts w:ascii="Aptos" w:hAnsi="Aptos" w:eastAsia="Aptos" w:cs="Aptos"/>
          <w:noProof w:val="0"/>
          <w:color w:val="000000" w:themeColor="text1" w:themeTint="FF" w:themeShade="FF"/>
          <w:sz w:val="20"/>
          <w:szCs w:val="20"/>
          <w:lang w:val="en-US"/>
        </w:rPr>
        <w:t>This review situates the GRC-LLM Maturity Assessment system within five thematic areas of existing scholarship: GRC automation, LLM based policy analysis, hallucination mitigation and explainability, cybersecurity maturity frameworks, and human-in-the-loop design.</w:t>
      </w:r>
    </w:p>
    <w:p xmlns:wp14="http://schemas.microsoft.com/office/word/2010/wordml" w:rsidRDefault="00000000" w14:paraId="00000013" wp14:textId="37DE22B2">
      <w:pPr>
        <w:pStyle w:val="Heading2"/>
      </w:pPr>
      <w:r w:rsidR="1AC55103">
        <w:rPr/>
        <w:t xml:space="preserve">I.  </w:t>
      </w:r>
      <w:r w:rsidR="1AC55103">
        <w:rPr/>
        <w:t xml:space="preserve">GRC </w:t>
      </w:r>
      <w:r w:rsidR="4A03E194">
        <w:rPr/>
        <w:t>A</w:t>
      </w:r>
      <w:r w:rsidR="1AC55103">
        <w:rPr/>
        <w:t>utomation</w:t>
      </w:r>
      <w:r w:rsidR="1AC55103">
        <w:rPr/>
        <w:t xml:space="preserve"> and </w:t>
      </w:r>
      <w:r w:rsidR="5DAAEA08">
        <w:rPr/>
        <w:t>M</w:t>
      </w:r>
      <w:r w:rsidR="1AC55103">
        <w:rPr/>
        <w:t xml:space="preserve">ulti-framework </w:t>
      </w:r>
      <w:r w:rsidR="18839FFD">
        <w:rPr/>
        <w:t>C</w:t>
      </w:r>
      <w:r w:rsidR="1AC55103">
        <w:rPr/>
        <w:t>omplexity</w:t>
      </w:r>
    </w:p>
    <w:p w:rsidR="678AEF9E" w:rsidP="654048B6" w:rsidRDefault="678AEF9E" w14:paraId="60852192" w14:textId="42D516B9">
      <w:pPr>
        <w:pStyle w:val="Normal"/>
        <w:jc w:val="both"/>
      </w:pPr>
      <w:r w:rsidRPr="654048B6" w:rsidR="1C08A3A7">
        <w:rPr>
          <w:rFonts w:ascii="Aptos" w:hAnsi="Aptos" w:eastAsia="Aptos" w:cs="Aptos"/>
          <w:noProof w:val="0"/>
          <w:color w:val="000000" w:themeColor="text1" w:themeTint="FF" w:themeShade="FF"/>
          <w:sz w:val="20"/>
          <w:szCs w:val="20"/>
          <w:lang w:val="en-US"/>
        </w:rPr>
        <w:t xml:space="preserve">The administrative challenge of managing compliance across multiple overlapping standards has become a defining feature of the regulatory environment, one that is directly relevant to organizations seeking affordable and consistent ways to assess their security posture. Research on the relationship between regulatory compliance and cybersecurity shows that compliance environments often involve conflicts, tensions, and variances across requirements, making compliance decisions context-dependent and difficult to operationalize [6]. </w:t>
      </w:r>
      <w:r w:rsidRPr="654048B6" w:rsidR="53E023F7">
        <w:rPr>
          <w:rFonts w:ascii="Aptos" w:hAnsi="Aptos" w:eastAsia="Aptos" w:cs="Aptos"/>
          <w:noProof w:val="0"/>
          <w:color w:val="000000" w:themeColor="text1" w:themeTint="FF" w:themeShade="FF"/>
          <w:sz w:val="20"/>
          <w:szCs w:val="20"/>
          <w:lang w:val="en-US"/>
        </w:rPr>
        <w:t>Different frameworks use different terminology, different control structures, and different maturity scales.</w:t>
      </w:r>
      <w:r w:rsidRPr="654048B6" w:rsidR="53E023F7">
        <w:rPr>
          <w:rFonts w:ascii="Aptos" w:hAnsi="Aptos" w:eastAsia="Aptos" w:cs="Aptos"/>
          <w:noProof w:val="0"/>
          <w:color w:val="000000" w:themeColor="text1" w:themeTint="FF" w:themeShade="FF"/>
          <w:sz w:val="20"/>
          <w:szCs w:val="20"/>
          <w:lang w:val="en-US"/>
        </w:rPr>
        <w:t xml:space="preserve"> For example, NIST CSF organizes controls around five functions (Identify, Protect, Detect, Respond, Recover), while CMMC uses practice-based domains and ISO 27001 uses Annex A control categories, meaning that a policy statement satisfying one framework's access control requirement may not map cleanly to the equivalent control in another, requiring analysts to manually reconcile overlapping but non-identical obligations. </w:t>
      </w:r>
      <w:r w:rsidRPr="654048B6" w:rsidR="1C08A3A7">
        <w:rPr>
          <w:rFonts w:ascii="Aptos" w:hAnsi="Aptos" w:eastAsia="Aptos" w:cs="Aptos"/>
          <w:noProof w:val="0"/>
          <w:color w:val="000000" w:themeColor="text1" w:themeTint="FF" w:themeShade="FF"/>
          <w:sz w:val="20"/>
          <w:szCs w:val="20"/>
          <w:lang w:val="en-US"/>
        </w:rPr>
        <w:t xml:space="preserve">This cross-framework burden is now the norm rather than the exception, with industry data </w:t>
      </w:r>
      <w:r w:rsidRPr="654048B6" w:rsidR="1C08A3A7">
        <w:rPr>
          <w:rFonts w:ascii="Aptos" w:hAnsi="Aptos" w:eastAsia="Aptos" w:cs="Aptos"/>
          <w:noProof w:val="0"/>
          <w:color w:val="000000" w:themeColor="text1" w:themeTint="FF" w:themeShade="FF"/>
          <w:sz w:val="20"/>
          <w:szCs w:val="20"/>
          <w:lang w:val="en-US"/>
        </w:rPr>
        <w:t>indicating</w:t>
      </w:r>
      <w:r w:rsidRPr="654048B6" w:rsidR="1C08A3A7">
        <w:rPr>
          <w:rFonts w:ascii="Aptos" w:hAnsi="Aptos" w:eastAsia="Aptos" w:cs="Aptos"/>
          <w:noProof w:val="0"/>
          <w:color w:val="000000" w:themeColor="text1" w:themeTint="FF" w:themeShade="FF"/>
          <w:sz w:val="20"/>
          <w:szCs w:val="20"/>
          <w:lang w:val="en-US"/>
        </w:rPr>
        <w:t xml:space="preserve"> that </w:t>
      </w:r>
      <w:r w:rsidRPr="654048B6" w:rsidR="1C08A3A7">
        <w:rPr>
          <w:rFonts w:ascii="Aptos" w:hAnsi="Aptos" w:eastAsia="Aptos" w:cs="Aptos"/>
          <w:noProof w:val="0"/>
          <w:color w:val="000000" w:themeColor="text1" w:themeTint="FF" w:themeShade="FF"/>
          <w:sz w:val="20"/>
          <w:szCs w:val="20"/>
          <w:lang w:val="en-US"/>
        </w:rPr>
        <w:t>nearly 70%</w:t>
      </w:r>
      <w:r w:rsidRPr="654048B6" w:rsidR="1C08A3A7">
        <w:rPr>
          <w:rFonts w:ascii="Aptos" w:hAnsi="Aptos" w:eastAsia="Aptos" w:cs="Aptos"/>
          <w:noProof w:val="0"/>
          <w:color w:val="000000" w:themeColor="text1" w:themeTint="FF" w:themeShade="FF"/>
          <w:sz w:val="20"/>
          <w:szCs w:val="20"/>
          <w:lang w:val="en-US"/>
        </w:rPr>
        <w:t xml:space="preserve"> of service organizations must </w:t>
      </w:r>
      <w:r w:rsidRPr="654048B6" w:rsidR="1C08A3A7">
        <w:rPr>
          <w:rFonts w:ascii="Aptos" w:hAnsi="Aptos" w:eastAsia="Aptos" w:cs="Aptos"/>
          <w:noProof w:val="0"/>
          <w:color w:val="000000" w:themeColor="text1" w:themeTint="FF" w:themeShade="FF"/>
          <w:sz w:val="20"/>
          <w:szCs w:val="20"/>
          <w:lang w:val="en-US"/>
        </w:rPr>
        <w:t>demonstrate</w:t>
      </w:r>
      <w:r w:rsidRPr="654048B6" w:rsidR="1C08A3A7">
        <w:rPr>
          <w:rFonts w:ascii="Aptos" w:hAnsi="Aptos" w:eastAsia="Aptos" w:cs="Aptos"/>
          <w:noProof w:val="0"/>
          <w:color w:val="000000" w:themeColor="text1" w:themeTint="FF" w:themeShade="FF"/>
          <w:sz w:val="20"/>
          <w:szCs w:val="20"/>
          <w:lang w:val="en-US"/>
        </w:rPr>
        <w:t xml:space="preserve"> compliance against at least six frameworks simultaneously [1].</w:t>
      </w:r>
      <w:r w:rsidRPr="654048B6" w:rsidR="4FD30EA9">
        <w:rPr>
          <w:rFonts w:ascii="Aptos" w:hAnsi="Aptos" w:eastAsia="Aptos" w:cs="Aptos"/>
          <w:noProof w:val="0"/>
          <w:color w:val="000000" w:themeColor="text1" w:themeTint="FF" w:themeShade="FF"/>
          <w:sz w:val="20"/>
          <w:szCs w:val="20"/>
          <w:lang w:val="en-US"/>
        </w:rPr>
        <w:t xml:space="preserve"> </w:t>
      </w:r>
      <w:r w:rsidRPr="654048B6" w:rsidR="4FD30EA9">
        <w:rPr>
          <w:rFonts w:ascii="Aptos" w:hAnsi="Aptos" w:eastAsia="Aptos" w:cs="Aptos"/>
          <w:noProof w:val="0"/>
          <w:color w:val="000000" w:themeColor="text1" w:themeTint="FF" w:themeShade="FF"/>
          <w:sz w:val="20"/>
          <w:szCs w:val="20"/>
          <w:lang w:val="en-US"/>
        </w:rPr>
        <w:t>As illustrated in Fig. 1, overlapping but non-identical control requirements across multiple frameworks can lead to repeated evidence collection and increased assessment workload.</w:t>
      </w:r>
    </w:p>
    <w:p w:rsidR="0A2C9B2B" w:rsidP="654048B6" w:rsidRDefault="0A2C9B2B" w14:paraId="6765A2E8" w14:textId="3F66F595">
      <w:pPr>
        <w:pStyle w:val="Normal"/>
        <w:jc w:val="center"/>
      </w:pPr>
      <w:r w:rsidR="0A2C9B2B">
        <w:drawing>
          <wp:inline wp14:editId="0FDB8275" wp14:anchorId="6E1B1F94">
            <wp:extent cx="1457325" cy="2905125"/>
            <wp:effectExtent l="0" t="0" r="0" b="0"/>
            <wp:docPr id="21242582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4258213" name="Picture 2124258213"/>
                    <pic:cNvPicPr/>
                  </pic:nvPicPr>
                  <pic:blipFill>
                    <a:blip xmlns:r="http://schemas.openxmlformats.org/officeDocument/2006/relationships" r:embed="rId2108708274">
                      <a:extLst>
                        <a:ext uri="{28A0092B-C50C-407E-A947-70E740481C1C}">
                          <a14:useLocalDpi xmlns:a14="http://schemas.microsoft.com/office/drawing/2010/main"/>
                        </a:ext>
                      </a:extLst>
                    </a:blip>
                    <a:stretch>
                      <a:fillRect/>
                    </a:stretch>
                  </pic:blipFill>
                  <pic:spPr>
                    <a:xfrm>
                      <a:off x="0" y="0"/>
                      <a:ext cx="1457325" cy="2905125"/>
                    </a:xfrm>
                    <a:prstGeom prst="rect">
                      <a:avLst/>
                    </a:prstGeom>
                  </pic:spPr>
                </pic:pic>
              </a:graphicData>
            </a:graphic>
          </wp:inline>
        </w:drawing>
      </w:r>
    </w:p>
    <w:p w:rsidR="0A2C9B2B" w:rsidP="654048B6" w:rsidRDefault="0A2C9B2B" w14:paraId="02D1E227" w14:textId="0DE60CA8">
      <w:pPr>
        <w:jc w:val="center"/>
        <w:rPr>
          <w:rFonts w:ascii="Times New Roman" w:hAnsi="Times New Roman" w:eastAsia="Times New Roman" w:cs="Times New Roman"/>
          <w:noProof w:val="0"/>
          <w:sz w:val="20"/>
          <w:szCs w:val="20"/>
          <w:lang w:val="en-US"/>
        </w:rPr>
      </w:pPr>
      <w:r w:rsidRPr="654048B6" w:rsidR="0A2C9B2B">
        <w:rPr>
          <w:rFonts w:ascii="Times New Roman" w:hAnsi="Times New Roman" w:eastAsia="Times New Roman" w:cs="Times New Roman"/>
          <w:noProof w:val="0"/>
          <w:sz w:val="20"/>
          <w:szCs w:val="20"/>
          <w:lang w:val="en"/>
        </w:rPr>
        <w:t>Fig. 1. Multi-framework compliance complexity and repeated evidence collection.</w:t>
      </w:r>
    </w:p>
    <w:p w:rsidR="654048B6" w:rsidP="654048B6" w:rsidRDefault="654048B6" w14:paraId="13C1FD1F" w14:textId="1ACD8BC1">
      <w:pPr>
        <w:jc w:val="both"/>
        <w:rPr>
          <w:rFonts w:ascii="Aptos" w:hAnsi="Aptos" w:eastAsia="Aptos" w:cs="Aptos"/>
          <w:noProof w:val="0"/>
          <w:color w:val="000000" w:themeColor="text1" w:themeTint="FF" w:themeShade="FF"/>
          <w:sz w:val="20"/>
          <w:szCs w:val="20"/>
          <w:lang w:val="en-US"/>
        </w:rPr>
      </w:pPr>
    </w:p>
    <w:p w:rsidR="678AEF9E" w:rsidP="11C5856B" w:rsidRDefault="678AEF9E" w14:paraId="1DF74F8A" w14:textId="3705445A">
      <w:pPr>
        <w:jc w:val="both"/>
      </w:pPr>
      <w:r w:rsidRPr="0BB6A513" w:rsidR="1C08A3A7">
        <w:rPr>
          <w:rFonts w:ascii="Aptos" w:hAnsi="Aptos" w:eastAsia="Aptos" w:cs="Aptos"/>
          <w:noProof w:val="0"/>
          <w:color w:val="000000" w:themeColor="text1" w:themeTint="FF" w:themeShade="FF"/>
          <w:sz w:val="20"/>
          <w:szCs w:val="20"/>
          <w:lang w:val="en-US"/>
        </w:rPr>
        <w:t>Automated GRC tooling has emerged as a necessary response to this complexity.</w:t>
      </w:r>
      <w:r w:rsidRPr="0BB6A513" w:rsidR="1C08A3A7">
        <w:rPr>
          <w:rFonts w:ascii="Aptos" w:hAnsi="Aptos" w:eastAsia="Aptos" w:cs="Aptos"/>
          <w:noProof w:val="0"/>
          <w:color w:val="000000" w:themeColor="text1" w:themeTint="FF" w:themeShade="FF"/>
          <w:sz w:val="20"/>
          <w:szCs w:val="20"/>
          <w:lang w:val="en-US"/>
        </w:rPr>
        <w:t xml:space="preserve"> Pinninti [7] demonstrates in a cloud environment case study that integrating workflow automation with the NIST CSF substantially reduces assessment time and minimizes the inconsistencies introduced by human review. Pillai and Kumar [8] extend this finding to audit readiness, showing that AI driven compliance automation enables continuous monitoring capabilities that static, periodic reviews cannot replicate, and that these systems generate audit-ready documentation automatically.</w:t>
      </w:r>
      <w:r w:rsidRPr="0BB6A513" w:rsidR="1C08A3A7">
        <w:rPr>
          <w:rFonts w:ascii="Aptos" w:hAnsi="Aptos" w:eastAsia="Aptos" w:cs="Aptos"/>
          <w:noProof w:val="0"/>
          <w:color w:val="000000" w:themeColor="text1" w:themeTint="FF" w:themeShade="FF"/>
          <w:sz w:val="20"/>
          <w:szCs w:val="20"/>
          <w:lang w:val="en-US"/>
        </w:rPr>
        <w:t xml:space="preserve"> Essien et al. [11] further establish that AI driven solutions can process the data volumes and complexity that routinely overwhelm human analysts, validating the efficiency case for automated assessment tooling.</w:t>
      </w:r>
    </w:p>
    <w:p w:rsidR="1F1E826F" w:rsidP="0BB6A513" w:rsidRDefault="1F1E826F" w14:paraId="2711EE8F" w14:textId="7743C864">
      <w:pPr>
        <w:jc w:val="both"/>
      </w:pPr>
      <w:r w:rsidRPr="0BB6A513" w:rsidR="1F1E826F">
        <w:rPr>
          <w:rFonts w:ascii="Aptos" w:hAnsi="Aptos" w:eastAsia="Aptos" w:cs="Aptos"/>
          <w:noProof w:val="0"/>
          <w:color w:val="000000" w:themeColor="text1" w:themeTint="FF" w:themeShade="FF"/>
          <w:sz w:val="20"/>
          <w:szCs w:val="20"/>
          <w:lang w:val="en-US"/>
        </w:rPr>
        <w:t xml:space="preserve">Together, this literature </w:t>
      </w:r>
      <w:r w:rsidRPr="0BB6A513" w:rsidR="1F1E826F">
        <w:rPr>
          <w:rFonts w:ascii="Aptos" w:hAnsi="Aptos" w:eastAsia="Aptos" w:cs="Aptos"/>
          <w:noProof w:val="0"/>
          <w:color w:val="000000" w:themeColor="text1" w:themeTint="FF" w:themeShade="FF"/>
          <w:sz w:val="20"/>
          <w:szCs w:val="20"/>
          <w:lang w:val="en-US"/>
        </w:rPr>
        <w:t>establishes</w:t>
      </w:r>
      <w:r w:rsidRPr="0BB6A513" w:rsidR="1F1E826F">
        <w:rPr>
          <w:rFonts w:ascii="Aptos" w:hAnsi="Aptos" w:eastAsia="Aptos" w:cs="Aptos"/>
          <w:noProof w:val="0"/>
          <w:color w:val="000000" w:themeColor="text1" w:themeTint="FF" w:themeShade="FF"/>
          <w:sz w:val="20"/>
          <w:szCs w:val="20"/>
          <w:lang w:val="en-US"/>
        </w:rPr>
        <w:t xml:space="preserve"> that automation is not merely a performance optimization but a prerequisite for </w:t>
      </w:r>
      <w:r w:rsidRPr="0BB6A513" w:rsidR="1F1E826F">
        <w:rPr>
          <w:rFonts w:ascii="Aptos" w:hAnsi="Aptos" w:eastAsia="Aptos" w:cs="Aptos"/>
          <w:noProof w:val="0"/>
          <w:color w:val="000000" w:themeColor="text1" w:themeTint="FF" w:themeShade="FF"/>
          <w:sz w:val="20"/>
          <w:szCs w:val="20"/>
          <w:lang w:val="en-US"/>
        </w:rPr>
        <w:t>maintaining</w:t>
      </w:r>
      <w:r w:rsidRPr="0BB6A513" w:rsidR="1F1E826F">
        <w:rPr>
          <w:rFonts w:ascii="Aptos" w:hAnsi="Aptos" w:eastAsia="Aptos" w:cs="Aptos"/>
          <w:noProof w:val="0"/>
          <w:color w:val="000000" w:themeColor="text1" w:themeTint="FF" w:themeShade="FF"/>
          <w:sz w:val="20"/>
          <w:szCs w:val="20"/>
          <w:lang w:val="en-US"/>
        </w:rPr>
        <w:t xml:space="preserve"> continuous compliance posture in environments governed by multiple overlapping standards.</w:t>
      </w:r>
    </w:p>
    <w:p xmlns:wp14="http://schemas.microsoft.com/office/word/2010/wordml" w:rsidRDefault="00000000" w14:paraId="00000017" wp14:textId="579C6F5F">
      <w:pPr>
        <w:pStyle w:val="Heading2"/>
      </w:pPr>
      <w:r w:rsidR="1AC55103">
        <w:rPr/>
        <w:t xml:space="preserve">II.  Large </w:t>
      </w:r>
      <w:r w:rsidR="4CF9C7B8">
        <w:rPr/>
        <w:t>L</w:t>
      </w:r>
      <w:r w:rsidR="1AC55103">
        <w:rPr/>
        <w:t xml:space="preserve">anguage </w:t>
      </w:r>
      <w:r w:rsidR="3527F43C">
        <w:rPr/>
        <w:t>M</w:t>
      </w:r>
      <w:r w:rsidR="1AC55103">
        <w:rPr/>
        <w:t xml:space="preserve">odels for </w:t>
      </w:r>
      <w:r w:rsidR="39D94432">
        <w:rPr/>
        <w:t>P</w:t>
      </w:r>
      <w:r w:rsidR="1AC55103">
        <w:rPr/>
        <w:t xml:space="preserve">olicy </w:t>
      </w:r>
      <w:r w:rsidR="1D7F987A">
        <w:rPr/>
        <w:t>A</w:t>
      </w:r>
      <w:r w:rsidR="1AC55103">
        <w:rPr/>
        <w:t>nalysis</w:t>
      </w:r>
    </w:p>
    <w:p w:rsidR="69E3349C" w:rsidP="5C222896" w:rsidRDefault="69E3349C" w14:paraId="26895169" w14:textId="7A87C77B">
      <w:pPr>
        <w:jc w:val="both"/>
        <w:rPr>
          <w:rFonts w:ascii="Aptos" w:hAnsi="Aptos" w:eastAsia="Aptos" w:cs="Aptos"/>
          <w:noProof w:val="0"/>
          <w:color w:val="000000" w:themeColor="text1" w:themeTint="FF" w:themeShade="FF"/>
          <w:sz w:val="20"/>
          <w:szCs w:val="20"/>
          <w:lang w:val="en-US"/>
        </w:rPr>
      </w:pPr>
      <w:r w:rsidRPr="654048B6" w:rsidR="7DE83E3E">
        <w:rPr>
          <w:rFonts w:ascii="Aptos" w:hAnsi="Aptos" w:eastAsia="Aptos" w:cs="Aptos"/>
          <w:noProof w:val="0"/>
          <w:color w:val="000000" w:themeColor="text1" w:themeTint="FF" w:themeShade="FF"/>
          <w:sz w:val="20"/>
          <w:szCs w:val="20"/>
          <w:lang w:val="en-US"/>
        </w:rPr>
        <w:t xml:space="preserve">The application of LLMs to cybersecurity tasks has expanded </w:t>
      </w:r>
      <w:r w:rsidRPr="654048B6" w:rsidR="7DE83E3E">
        <w:rPr>
          <w:rFonts w:ascii="Aptos" w:hAnsi="Aptos" w:eastAsia="Aptos" w:cs="Aptos"/>
          <w:noProof w:val="0"/>
          <w:color w:val="000000" w:themeColor="text1" w:themeTint="FF" w:themeShade="FF"/>
          <w:sz w:val="20"/>
          <w:szCs w:val="20"/>
          <w:lang w:val="en-US"/>
        </w:rPr>
        <w:t>substantially since</w:t>
      </w:r>
      <w:r w:rsidRPr="654048B6" w:rsidR="7DE83E3E">
        <w:rPr>
          <w:rFonts w:ascii="Aptos" w:hAnsi="Aptos" w:eastAsia="Aptos" w:cs="Aptos"/>
          <w:noProof w:val="0"/>
          <w:color w:val="000000" w:themeColor="text1" w:themeTint="FF" w:themeShade="FF"/>
          <w:sz w:val="20"/>
          <w:szCs w:val="20"/>
          <w:lang w:val="en-US"/>
        </w:rPr>
        <w:t xml:space="preserve"> the mainstream adoption of transformer architectures. </w:t>
      </w:r>
      <w:r w:rsidRPr="654048B6" w:rsidR="07439E2E">
        <w:rPr>
          <w:rFonts w:ascii="Aptos" w:hAnsi="Aptos" w:eastAsia="Aptos" w:cs="Aptos"/>
          <w:noProof w:val="0"/>
          <w:color w:val="000000" w:themeColor="text1" w:themeTint="FF" w:themeShade="FF"/>
          <w:sz w:val="20"/>
          <w:szCs w:val="20"/>
          <w:lang w:val="en-US"/>
        </w:rPr>
        <w:t>Jaffal et al. [12], in a comprehensive survey published in 2025 spanning 223 studies from 2021 to 2025, systematically reviewed LLM contributions across threat detection, vulnerability assessment, compliance monitoring, and policy interpretation. The survey found that LLMs have been deployed to semantically interpret access control policies against regulatory requirements, a task directly analogous to the framework mapping pipeline in GRC-</w:t>
      </w:r>
      <w:r w:rsidRPr="654048B6" w:rsidR="07439E2E">
        <w:rPr>
          <w:rFonts w:ascii="Aptos" w:hAnsi="Aptos" w:eastAsia="Aptos" w:cs="Aptos"/>
          <w:noProof w:val="0"/>
          <w:color w:val="000000" w:themeColor="text1" w:themeTint="FF" w:themeShade="FF"/>
          <w:sz w:val="20"/>
          <w:szCs w:val="20"/>
          <w:lang w:val="en-US"/>
        </w:rPr>
        <w:t>LLM, and</w:t>
      </w:r>
      <w:r w:rsidRPr="654048B6" w:rsidR="07439E2E">
        <w:rPr>
          <w:rFonts w:ascii="Aptos" w:hAnsi="Aptos" w:eastAsia="Aptos" w:cs="Aptos"/>
          <w:noProof w:val="0"/>
          <w:color w:val="000000" w:themeColor="text1" w:themeTint="FF" w:themeShade="FF"/>
          <w:sz w:val="20"/>
          <w:szCs w:val="20"/>
          <w:lang w:val="en-US"/>
        </w:rPr>
        <w:t xml:space="preserve"> documented real-world deployments achieving precision and recall benchmarks that validate LLMs as viable tools for compliance-sensitive cybersecurity tasks. </w:t>
      </w:r>
      <w:r w:rsidRPr="654048B6" w:rsidR="7DE83E3E">
        <w:rPr>
          <w:rFonts w:ascii="Aptos" w:hAnsi="Aptos" w:eastAsia="Aptos" w:cs="Aptos"/>
          <w:noProof w:val="0"/>
          <w:color w:val="000000" w:themeColor="text1" w:themeTint="FF" w:themeShade="FF"/>
          <w:sz w:val="20"/>
          <w:szCs w:val="20"/>
          <w:lang w:val="en-US"/>
        </w:rPr>
        <w:t xml:space="preserve">Cadet et al. [9] </w:t>
      </w:r>
      <w:r w:rsidRPr="654048B6" w:rsidR="7DE83E3E">
        <w:rPr>
          <w:rFonts w:ascii="Aptos" w:hAnsi="Aptos" w:eastAsia="Aptos" w:cs="Aptos"/>
          <w:noProof w:val="0"/>
          <w:color w:val="000000" w:themeColor="text1" w:themeTint="FF" w:themeShade="FF"/>
          <w:sz w:val="20"/>
          <w:szCs w:val="20"/>
          <w:lang w:val="en-US"/>
        </w:rPr>
        <w:t>establish</w:t>
      </w:r>
      <w:r w:rsidRPr="654048B6" w:rsidR="7DE83E3E">
        <w:rPr>
          <w:rFonts w:ascii="Aptos" w:hAnsi="Aptos" w:eastAsia="Aptos" w:cs="Aptos"/>
          <w:noProof w:val="0"/>
          <w:color w:val="000000" w:themeColor="text1" w:themeTint="FF" w:themeShade="FF"/>
          <w:sz w:val="20"/>
          <w:szCs w:val="20"/>
          <w:lang w:val="en-US"/>
        </w:rPr>
        <w:t xml:space="preserve"> that LLM based tools materially outperform keyword-matching and rule-based systems in </w:t>
      </w:r>
      <w:r w:rsidRPr="654048B6" w:rsidR="7DE83E3E">
        <w:rPr>
          <w:rFonts w:ascii="Aptos" w:hAnsi="Aptos" w:eastAsia="Aptos" w:cs="Aptos"/>
          <w:noProof w:val="0"/>
          <w:color w:val="000000" w:themeColor="text1" w:themeTint="FF" w:themeShade="FF"/>
          <w:sz w:val="20"/>
          <w:szCs w:val="20"/>
          <w:lang w:val="en-US"/>
        </w:rPr>
        <w:t>identifying</w:t>
      </w:r>
      <w:r w:rsidRPr="654048B6" w:rsidR="7DE83E3E">
        <w:rPr>
          <w:rFonts w:ascii="Aptos" w:hAnsi="Aptos" w:eastAsia="Aptos" w:cs="Aptos"/>
          <w:noProof w:val="0"/>
          <w:color w:val="000000" w:themeColor="text1" w:themeTint="FF" w:themeShade="FF"/>
          <w:sz w:val="20"/>
          <w:szCs w:val="20"/>
          <w:lang w:val="en-US"/>
        </w:rPr>
        <w:t xml:space="preserve"> compliance gaps within security policy documents, evaluating </w:t>
      </w:r>
      <w:r w:rsidRPr="654048B6" w:rsidR="7DE83E3E">
        <w:rPr>
          <w:rFonts w:ascii="Aptos" w:hAnsi="Aptos" w:eastAsia="Aptos" w:cs="Aptos"/>
          <w:noProof w:val="0"/>
          <w:color w:val="000000" w:themeColor="text1" w:themeTint="FF" w:themeShade="FF"/>
          <w:sz w:val="20"/>
          <w:szCs w:val="20"/>
          <w:lang w:val="en-US"/>
        </w:rPr>
        <w:t>firewall</w:t>
      </w:r>
      <w:r w:rsidRPr="654048B6" w:rsidR="7DE83E3E">
        <w:rPr>
          <w:rFonts w:ascii="Aptos" w:hAnsi="Aptos" w:eastAsia="Aptos" w:cs="Aptos"/>
          <w:noProof w:val="0"/>
          <w:color w:val="000000" w:themeColor="text1" w:themeTint="FF" w:themeShade="FF"/>
          <w:sz w:val="20"/>
          <w:szCs w:val="20"/>
          <w:lang w:val="en-US"/>
        </w:rPr>
        <w:t xml:space="preserve"> rules, access controls, and network segmentation policies against regulatory standards with meaningfully higher accuracy. </w:t>
      </w:r>
      <w:r w:rsidRPr="654048B6" w:rsidR="7DE83E3E">
        <w:rPr>
          <w:rFonts w:ascii="Aptos" w:hAnsi="Aptos" w:eastAsia="Aptos" w:cs="Aptos"/>
          <w:noProof w:val="0"/>
          <w:color w:val="000000" w:themeColor="text1" w:themeTint="FF" w:themeShade="FF"/>
          <w:sz w:val="20"/>
          <w:szCs w:val="20"/>
          <w:lang w:val="en-US"/>
        </w:rPr>
        <w:t xml:space="preserve">To illustrate why </w:t>
      </w:r>
      <w:r w:rsidRPr="654048B6" w:rsidR="7DE83E3E">
        <w:rPr>
          <w:rFonts w:ascii="Aptos" w:hAnsi="Aptos" w:eastAsia="Aptos" w:cs="Aptos"/>
          <w:noProof w:val="0"/>
          <w:color w:val="000000" w:themeColor="text1" w:themeTint="FF" w:themeShade="FF"/>
          <w:sz w:val="20"/>
          <w:szCs w:val="20"/>
          <w:lang w:val="en-US"/>
        </w:rPr>
        <w:t>this matters</w:t>
      </w:r>
      <w:r w:rsidRPr="654048B6" w:rsidR="7DE83E3E">
        <w:rPr>
          <w:rFonts w:ascii="Aptos" w:hAnsi="Aptos" w:eastAsia="Aptos" w:cs="Aptos"/>
          <w:noProof w:val="0"/>
          <w:color w:val="000000" w:themeColor="text1" w:themeTint="FF" w:themeShade="FF"/>
          <w:sz w:val="20"/>
          <w:szCs w:val="20"/>
          <w:lang w:val="en-US"/>
        </w:rPr>
        <w:t xml:space="preserve">: a keyword-based system looking for the word "encryption" would miss a policy clause </w:t>
      </w:r>
      <w:r w:rsidRPr="654048B6" w:rsidR="7DE83E3E">
        <w:rPr>
          <w:rFonts w:ascii="Aptos" w:hAnsi="Aptos" w:eastAsia="Aptos" w:cs="Aptos"/>
          <w:noProof w:val="0"/>
          <w:color w:val="000000" w:themeColor="text1" w:themeTint="FF" w:themeShade="FF"/>
          <w:sz w:val="20"/>
          <w:szCs w:val="20"/>
          <w:lang w:val="en-US"/>
        </w:rPr>
        <w:t>stating</w:t>
      </w:r>
      <w:r w:rsidRPr="654048B6" w:rsidR="7DE83E3E">
        <w:rPr>
          <w:rFonts w:ascii="Aptos" w:hAnsi="Aptos" w:eastAsia="Aptos" w:cs="Aptos"/>
          <w:noProof w:val="0"/>
          <w:color w:val="000000" w:themeColor="text1" w:themeTint="FF" w:themeShade="FF"/>
          <w:sz w:val="20"/>
          <w:szCs w:val="20"/>
          <w:lang w:val="en-US"/>
        </w:rPr>
        <w:t xml:space="preserve"> "all data in transit is protected using industry-standard cryptographic protocols," whereas an LLM understands that the clause satisfies the same underlying control requirement despite using different language.</w:t>
      </w:r>
    </w:p>
    <w:p w:rsidR="69E3349C" w:rsidP="11C5856B" w:rsidRDefault="69E3349C" w14:paraId="470DE759" w14:textId="2ACD2A83">
      <w:pPr>
        <w:jc w:val="both"/>
      </w:pPr>
      <w:r w:rsidRPr="11C5856B" w:rsidR="69E3349C">
        <w:rPr>
          <w:rFonts w:ascii="Aptos" w:hAnsi="Aptos" w:eastAsia="Aptos" w:cs="Aptos"/>
          <w:noProof w:val="0"/>
          <w:color w:val="000000" w:themeColor="text1" w:themeTint="FF" w:themeShade="FF"/>
          <w:sz w:val="20"/>
          <w:szCs w:val="20"/>
          <w:lang w:val="en-US"/>
        </w:rPr>
        <w:t>This finding is significant for two reasons. First, it confirms that an LLM based pipeline can detect policy coverage that pattern-based systems systematically miss, including cases where policies satisfy control requirements through alternative phrasing or implementation approaches not anticipated by rule authors. This is the core capability GRC-LLM is built around. Second, it highlights the fundamental limitation of existing automated compliance tools, most of which continue to rely on pattern matching rather than contextual understanding.</w:t>
      </w:r>
    </w:p>
    <w:p w:rsidR="69E3349C" w:rsidP="5C222896" w:rsidRDefault="69E3349C" w14:paraId="0EDD921F" w14:textId="1A2CD3F0">
      <w:pPr>
        <w:jc w:val="both"/>
      </w:pPr>
      <w:r w:rsidRPr="654048B6" w:rsidR="7DE83E3E">
        <w:rPr>
          <w:rFonts w:ascii="Aptos" w:hAnsi="Aptos" w:eastAsia="Aptos" w:cs="Aptos"/>
          <w:noProof w:val="0"/>
          <w:color w:val="000000" w:themeColor="text1" w:themeTint="FF" w:themeShade="FF"/>
          <w:sz w:val="20"/>
          <w:szCs w:val="20"/>
          <w:lang w:val="en-US"/>
        </w:rPr>
        <w:t xml:space="preserve">McIntosh et al. [13] </w:t>
      </w:r>
      <w:r w:rsidRPr="654048B6" w:rsidR="7DE83E3E">
        <w:rPr>
          <w:rFonts w:ascii="Aptos" w:hAnsi="Aptos" w:eastAsia="Aptos" w:cs="Aptos"/>
          <w:noProof w:val="0"/>
          <w:color w:val="000000" w:themeColor="text1" w:themeTint="FF" w:themeShade="FF"/>
          <w:sz w:val="20"/>
          <w:szCs w:val="20"/>
          <w:lang w:val="en-US"/>
        </w:rPr>
        <w:t>validate</w:t>
      </w:r>
      <w:r w:rsidRPr="654048B6" w:rsidR="7DE83E3E">
        <w:rPr>
          <w:rFonts w:ascii="Aptos" w:hAnsi="Aptos" w:eastAsia="Aptos" w:cs="Aptos"/>
          <w:noProof w:val="0"/>
          <w:color w:val="000000" w:themeColor="text1" w:themeTint="FF" w:themeShade="FF"/>
          <w:sz w:val="20"/>
          <w:szCs w:val="20"/>
          <w:lang w:val="en-US"/>
        </w:rPr>
        <w:t xml:space="preserve"> the LLM approach from a reliability angle, showing that enforcing structured JSON outputs </w:t>
      </w:r>
      <w:r w:rsidRPr="654048B6" w:rsidR="7DE83E3E">
        <w:rPr>
          <w:rFonts w:ascii="Aptos" w:hAnsi="Aptos" w:eastAsia="Aptos" w:cs="Aptos"/>
          <w:noProof w:val="0"/>
          <w:color w:val="000000" w:themeColor="text1" w:themeTint="FF" w:themeShade="FF"/>
          <w:sz w:val="20"/>
          <w:szCs w:val="20"/>
          <w:lang w:val="en-US"/>
        </w:rPr>
        <w:t>substantially reduces</w:t>
      </w:r>
      <w:r w:rsidRPr="654048B6" w:rsidR="7DE83E3E">
        <w:rPr>
          <w:rFonts w:ascii="Aptos" w:hAnsi="Aptos" w:eastAsia="Aptos" w:cs="Aptos"/>
          <w:noProof w:val="0"/>
          <w:color w:val="000000" w:themeColor="text1" w:themeTint="FF" w:themeShade="FF"/>
          <w:sz w:val="20"/>
          <w:szCs w:val="20"/>
          <w:lang w:val="en-US"/>
        </w:rPr>
        <w:t xml:space="preserve"> hallucination risk, the principal concern for deploying LLMs in high-stakes compliance contexts.</w:t>
      </w:r>
      <w:r w:rsidRPr="654048B6" w:rsidR="7DE83E3E">
        <w:rPr>
          <w:rFonts w:ascii="Aptos" w:hAnsi="Aptos" w:eastAsia="Aptos" w:cs="Aptos"/>
          <w:noProof w:val="0"/>
          <w:color w:val="000000" w:themeColor="text1" w:themeTint="FF" w:themeShade="FF"/>
          <w:sz w:val="20"/>
          <w:szCs w:val="20"/>
          <w:lang w:val="en-US"/>
        </w:rPr>
        <w:t xml:space="preserve"> JSON, which stands for JavaScript Object Notation, is a structured data format that forces the model to return its assessment in a predefined template containing specific fields such as score, evidence, gaps, and recommendations, rather than generating free-form text that is harder to verify or audit.</w:t>
      </w:r>
      <w:r w:rsidRPr="654048B6" w:rsidR="7DE83E3E">
        <w:rPr>
          <w:rFonts w:ascii="Aptos" w:hAnsi="Aptos" w:eastAsia="Aptos" w:cs="Aptos"/>
          <w:noProof w:val="0"/>
          <w:color w:val="000000" w:themeColor="text1" w:themeTint="FF" w:themeShade="FF"/>
          <w:sz w:val="20"/>
          <w:szCs w:val="20"/>
          <w:lang w:val="en-US"/>
        </w:rPr>
        <w:t xml:space="preserve"> </w:t>
      </w:r>
      <w:r w:rsidRPr="654048B6" w:rsidR="24520604">
        <w:rPr>
          <w:rFonts w:ascii="Aptos" w:hAnsi="Aptos" w:eastAsia="Aptos" w:cs="Aptos"/>
          <w:noProof w:val="0"/>
          <w:color w:val="000000" w:themeColor="text1" w:themeTint="FF" w:themeShade="FF"/>
          <w:sz w:val="20"/>
          <w:szCs w:val="20"/>
          <w:lang w:val="en-US"/>
        </w:rPr>
        <w:t>GRC-LLM adopts this</w:t>
      </w:r>
      <w:r w:rsidRPr="654048B6" w:rsidR="24520604">
        <w:rPr>
          <w:rFonts w:ascii="Aptos" w:hAnsi="Aptos" w:eastAsia="Aptos" w:cs="Aptos"/>
          <w:noProof w:val="0"/>
          <w:color w:val="000000" w:themeColor="text1" w:themeTint="FF" w:themeShade="FF"/>
          <w:sz w:val="20"/>
          <w:szCs w:val="20"/>
          <w:lang w:val="en-US"/>
        </w:rPr>
        <w:t xml:space="preserve"> approach directly. Claude, developed by Anthropic, is a large language model selected for its </w:t>
      </w:r>
      <w:r w:rsidRPr="654048B6" w:rsidR="24520604">
        <w:rPr>
          <w:rFonts w:ascii="Aptos" w:hAnsi="Aptos" w:eastAsia="Aptos" w:cs="Aptos"/>
          <w:noProof w:val="0"/>
          <w:color w:val="000000" w:themeColor="text1" w:themeTint="FF" w:themeShade="FF"/>
          <w:sz w:val="20"/>
          <w:szCs w:val="20"/>
          <w:lang w:val="en-US"/>
        </w:rPr>
        <w:t>strong performance</w:t>
      </w:r>
      <w:r w:rsidRPr="654048B6" w:rsidR="24520604">
        <w:rPr>
          <w:rFonts w:ascii="Aptos" w:hAnsi="Aptos" w:eastAsia="Aptos" w:cs="Aptos"/>
          <w:noProof w:val="0"/>
          <w:color w:val="000000" w:themeColor="text1" w:themeTint="FF" w:themeShade="FF"/>
          <w:sz w:val="20"/>
          <w:szCs w:val="20"/>
          <w:lang w:val="en-US"/>
        </w:rPr>
        <w:t xml:space="preserve"> on structured output generation, its ability to reason over long retrieved document passages with high accuracy, and its support for constrained JSON response formatting via the Anthropic API. For every control assessed, Claude receives a prompt </w:t>
      </w:r>
      <w:r w:rsidRPr="654048B6" w:rsidR="24520604">
        <w:rPr>
          <w:rFonts w:ascii="Aptos" w:hAnsi="Aptos" w:eastAsia="Aptos" w:cs="Aptos"/>
          <w:noProof w:val="0"/>
          <w:color w:val="000000" w:themeColor="text1" w:themeTint="FF" w:themeShade="FF"/>
          <w:sz w:val="20"/>
          <w:szCs w:val="20"/>
          <w:lang w:val="en-US"/>
        </w:rPr>
        <w:t>containing</w:t>
      </w:r>
      <w:r w:rsidRPr="654048B6" w:rsidR="24520604">
        <w:rPr>
          <w:rFonts w:ascii="Aptos" w:hAnsi="Aptos" w:eastAsia="Aptos" w:cs="Aptos"/>
          <w:noProof w:val="0"/>
          <w:color w:val="000000" w:themeColor="text1" w:themeTint="FF" w:themeShade="FF"/>
          <w:sz w:val="20"/>
          <w:szCs w:val="20"/>
          <w:lang w:val="en-US"/>
        </w:rPr>
        <w:t xml:space="preserve"> the control requirement and the five most relevant policy passages retrieved from </w:t>
      </w:r>
      <w:r w:rsidRPr="654048B6" w:rsidR="24520604">
        <w:rPr>
          <w:rFonts w:ascii="Aptos" w:hAnsi="Aptos" w:eastAsia="Aptos" w:cs="Aptos"/>
          <w:noProof w:val="0"/>
          <w:color w:val="000000" w:themeColor="text1" w:themeTint="FF" w:themeShade="FF"/>
          <w:sz w:val="20"/>
          <w:szCs w:val="20"/>
          <w:lang w:val="en-US"/>
        </w:rPr>
        <w:t>ChromaDB</w:t>
      </w:r>
      <w:r w:rsidRPr="654048B6" w:rsidR="24520604">
        <w:rPr>
          <w:rFonts w:ascii="Aptos" w:hAnsi="Aptos" w:eastAsia="Aptos" w:cs="Aptos"/>
          <w:noProof w:val="0"/>
          <w:color w:val="000000" w:themeColor="text1" w:themeTint="FF" w:themeShade="FF"/>
          <w:sz w:val="20"/>
          <w:szCs w:val="20"/>
          <w:lang w:val="en-US"/>
        </w:rPr>
        <w:t xml:space="preserve">, and returns a structured JSON object </w:t>
      </w:r>
      <w:r w:rsidRPr="654048B6" w:rsidR="24520604">
        <w:rPr>
          <w:rFonts w:ascii="Aptos" w:hAnsi="Aptos" w:eastAsia="Aptos" w:cs="Aptos"/>
          <w:noProof w:val="0"/>
          <w:color w:val="000000" w:themeColor="text1" w:themeTint="FF" w:themeShade="FF"/>
          <w:sz w:val="20"/>
          <w:szCs w:val="20"/>
          <w:lang w:val="en-US"/>
        </w:rPr>
        <w:t>containing</w:t>
      </w:r>
      <w:r w:rsidRPr="654048B6" w:rsidR="24520604">
        <w:rPr>
          <w:rFonts w:ascii="Aptos" w:hAnsi="Aptos" w:eastAsia="Aptos" w:cs="Aptos"/>
          <w:noProof w:val="0"/>
          <w:color w:val="000000" w:themeColor="text1" w:themeTint="FF" w:themeShade="FF"/>
          <w:sz w:val="20"/>
          <w:szCs w:val="20"/>
          <w:lang w:val="en-US"/>
        </w:rPr>
        <w:t xml:space="preserve"> the maturity score, evidence, gaps, and recommendations for that control.</w:t>
      </w:r>
    </w:p>
    <w:p xmlns:wp14="http://schemas.microsoft.com/office/word/2010/wordml" w:rsidRDefault="00000000" w14:paraId="0000001B" wp14:textId="12BE3617">
      <w:pPr>
        <w:pStyle w:val="Heading2"/>
        <w:rPr>
          <w:rtl w:val="0"/>
        </w:rPr>
      </w:pPr>
      <w:r w:rsidR="23D4E51C">
        <w:rPr/>
        <w:t xml:space="preserve">III.  Hallucination </w:t>
      </w:r>
      <w:r w:rsidR="514B3605">
        <w:rPr/>
        <w:t>M</w:t>
      </w:r>
      <w:r w:rsidR="23D4E51C">
        <w:rPr/>
        <w:t xml:space="preserve">itigation and </w:t>
      </w:r>
      <w:r w:rsidR="76EF7F9E">
        <w:rPr/>
        <w:t>E</w:t>
      </w:r>
      <w:r w:rsidR="23D4E51C">
        <w:rPr/>
        <w:t>xplainability</w:t>
      </w:r>
    </w:p>
    <w:p xmlns:wp14="http://schemas.microsoft.com/office/word/2010/wordml" w:rsidP="11C5856B" w:rsidRDefault="00000000" w14:paraId="4928B720" wp14:textId="5E6B099E">
      <w:pPr>
        <w:spacing w:before="0" w:after="0" w:lineRule="auto"/>
        <w:ind/>
        <w:jc w:val="both"/>
      </w:pPr>
      <w:r w:rsidRPr="11C5856B" w:rsidR="2C91D121">
        <w:rPr>
          <w:rFonts w:ascii="Aptos" w:hAnsi="Aptos" w:eastAsia="Aptos" w:cs="Aptos"/>
          <w:noProof w:val="0"/>
          <w:color w:val="000000" w:themeColor="text1" w:themeTint="FF" w:themeShade="FF"/>
          <w:sz w:val="20"/>
          <w:szCs w:val="20"/>
          <w:lang w:val="en-US"/>
        </w:rPr>
        <w:t>Hallucination, the generation of confident yet factually incorrect outputs, represents the central reliability challenge for LLMs deployed in compliance contexts. An erroneous control assessment could propagate into a materially incorrect gap analysis and result in misallocated remediation resources. The literature identifies two complementary mitigations as most effective: RAG and structured output constraints, both of which are implemented in GRC-LLM.</w:t>
      </w:r>
    </w:p>
    <w:p xmlns:wp14="http://schemas.microsoft.com/office/word/2010/wordml" w:rsidP="11C5856B" w:rsidRDefault="00000000" w14:paraId="2971A4CF" wp14:textId="25E635C1">
      <w:pPr>
        <w:spacing w:before="0" w:after="0" w:lineRule="auto"/>
        <w:ind/>
        <w:jc w:val="both"/>
      </w:pPr>
      <w:r w:rsidRPr="0BB6A513" w:rsidR="6783406A">
        <w:rPr>
          <w:rFonts w:ascii="Aptos" w:hAnsi="Aptos" w:eastAsia="Aptos" w:cs="Aptos"/>
          <w:noProof w:val="0"/>
          <w:color w:val="000000" w:themeColor="text1" w:themeTint="FF" w:themeShade="FF"/>
          <w:sz w:val="20"/>
          <w:szCs w:val="20"/>
          <w:lang w:val="en-US"/>
        </w:rPr>
        <w:t xml:space="preserve">A systematic review of 25 LLMs across over 300 studies </w:t>
      </w:r>
      <w:r w:rsidRPr="0BB6A513" w:rsidR="6783406A">
        <w:rPr>
          <w:rFonts w:ascii="Aptos" w:hAnsi="Aptos" w:eastAsia="Aptos" w:cs="Aptos"/>
          <w:noProof w:val="0"/>
          <w:color w:val="000000" w:themeColor="text1" w:themeTint="FF" w:themeShade="FF"/>
          <w:sz w:val="20"/>
          <w:szCs w:val="20"/>
          <w:lang w:val="en-US"/>
        </w:rPr>
        <w:t>establishes</w:t>
      </w:r>
      <w:r w:rsidRPr="0BB6A513" w:rsidR="6783406A">
        <w:rPr>
          <w:rFonts w:ascii="Aptos" w:hAnsi="Aptos" w:eastAsia="Aptos" w:cs="Aptos"/>
          <w:noProof w:val="0"/>
          <w:color w:val="000000" w:themeColor="text1" w:themeTint="FF" w:themeShade="FF"/>
          <w:sz w:val="20"/>
          <w:szCs w:val="20"/>
          <w:lang w:val="en-US"/>
        </w:rPr>
        <w:t xml:space="preserve"> that RAG architectures consistently outperform standard LLM inference on knowledge-intensive tasks by grounding model outputs in retrieved, authoritative context rather than relying on training data alone [10].</w:t>
      </w:r>
      <w:r w:rsidRPr="0BB6A513" w:rsidR="6783406A">
        <w:rPr>
          <w:rFonts w:ascii="Aptos" w:hAnsi="Aptos" w:eastAsia="Aptos" w:cs="Aptos"/>
          <w:noProof w:val="0"/>
          <w:color w:val="000000" w:themeColor="text1" w:themeTint="FF" w:themeShade="FF"/>
          <w:sz w:val="20"/>
          <w:szCs w:val="20"/>
          <w:lang w:val="en-US"/>
        </w:rPr>
        <w:t xml:space="preserve"> In applied cybersecurity settings, </w:t>
      </w:r>
      <w:r w:rsidRPr="0BB6A513" w:rsidR="6783406A">
        <w:rPr>
          <w:rFonts w:ascii="Aptos" w:hAnsi="Aptos" w:eastAsia="Aptos" w:cs="Aptos"/>
          <w:noProof w:val="0"/>
          <w:color w:val="000000" w:themeColor="text1" w:themeTint="FF" w:themeShade="FF"/>
          <w:sz w:val="20"/>
          <w:szCs w:val="20"/>
          <w:lang w:val="en-US"/>
        </w:rPr>
        <w:t>RAG based</w:t>
      </w:r>
      <w:r w:rsidRPr="0BB6A513" w:rsidR="6783406A">
        <w:rPr>
          <w:rFonts w:ascii="Aptos" w:hAnsi="Aptos" w:eastAsia="Aptos" w:cs="Aptos"/>
          <w:noProof w:val="0"/>
          <w:color w:val="000000" w:themeColor="text1" w:themeTint="FF" w:themeShade="FF"/>
          <w:sz w:val="20"/>
          <w:szCs w:val="20"/>
          <w:lang w:val="en-US"/>
        </w:rPr>
        <w:t xml:space="preserve"> systems have achieved </w:t>
      </w:r>
      <w:r w:rsidRPr="0BB6A513" w:rsidR="6783406A">
        <w:rPr>
          <w:rFonts w:ascii="Aptos" w:hAnsi="Aptos" w:eastAsia="Aptos" w:cs="Aptos"/>
          <w:noProof w:val="0"/>
          <w:color w:val="000000" w:themeColor="text1" w:themeTint="FF" w:themeShade="FF"/>
          <w:sz w:val="20"/>
          <w:szCs w:val="20"/>
          <w:lang w:val="en-US"/>
        </w:rPr>
        <w:t>strong performance</w:t>
      </w:r>
      <w:r w:rsidRPr="0BB6A513" w:rsidR="6783406A">
        <w:rPr>
          <w:rFonts w:ascii="Aptos" w:hAnsi="Aptos" w:eastAsia="Aptos" w:cs="Aptos"/>
          <w:noProof w:val="0"/>
          <w:color w:val="000000" w:themeColor="text1" w:themeTint="FF" w:themeShade="FF"/>
          <w:sz w:val="20"/>
          <w:szCs w:val="20"/>
          <w:lang w:val="en-US"/>
        </w:rPr>
        <w:t xml:space="preserve"> benchmarks. </w:t>
      </w:r>
      <w:r w:rsidRPr="0BB6A513" w:rsidR="098D0A23">
        <w:rPr>
          <w:rFonts w:ascii="Aptos" w:hAnsi="Aptos" w:eastAsia="Aptos" w:cs="Aptos"/>
          <w:noProof w:val="0"/>
          <w:color w:val="000000" w:themeColor="text1" w:themeTint="FF" w:themeShade="FF"/>
          <w:sz w:val="20"/>
          <w:szCs w:val="20"/>
          <w:lang w:val="en-US"/>
        </w:rPr>
        <w:t xml:space="preserve">LOCALINTEL, a threat intelligence system that uses RAG to retrieve and reason over cybersecurity reports, reached a RAGAS score of 0.9535, and </w:t>
      </w:r>
      <w:r w:rsidRPr="0BB6A513" w:rsidR="098D0A23">
        <w:rPr>
          <w:rFonts w:ascii="Aptos" w:hAnsi="Aptos" w:eastAsia="Aptos" w:cs="Aptos"/>
          <w:noProof w:val="0"/>
          <w:color w:val="000000" w:themeColor="text1" w:themeTint="FF" w:themeShade="FF"/>
          <w:sz w:val="20"/>
          <w:szCs w:val="20"/>
          <w:lang w:val="en-US"/>
        </w:rPr>
        <w:t>LLMCloudHunter</w:t>
      </w:r>
      <w:r w:rsidRPr="0BB6A513" w:rsidR="098D0A23">
        <w:rPr>
          <w:rFonts w:ascii="Aptos" w:hAnsi="Aptos" w:eastAsia="Aptos" w:cs="Aptos"/>
          <w:noProof w:val="0"/>
          <w:color w:val="000000" w:themeColor="text1" w:themeTint="FF" w:themeShade="FF"/>
          <w:sz w:val="20"/>
          <w:szCs w:val="20"/>
          <w:lang w:val="en-US"/>
        </w:rPr>
        <w:t xml:space="preserve">, a RAG based cloud threat detection framework, achieved 92% precision and 98% recall [12]. These benchmarks are from threat detection applications rather than maturity assessment specifically, </w:t>
      </w:r>
      <w:r w:rsidRPr="0BB6A513" w:rsidR="35F9DF34">
        <w:rPr>
          <w:rFonts w:ascii="Aptos" w:hAnsi="Aptos" w:eastAsia="Aptos" w:cs="Aptos"/>
          <w:noProof w:val="0"/>
          <w:color w:val="000000" w:themeColor="text1" w:themeTint="FF" w:themeShade="FF"/>
          <w:sz w:val="20"/>
          <w:szCs w:val="20"/>
          <w:lang w:val="en-US"/>
        </w:rPr>
        <w:t xml:space="preserve">but they </w:t>
      </w:r>
      <w:r w:rsidRPr="0BB6A513" w:rsidR="35F9DF34">
        <w:rPr>
          <w:rFonts w:ascii="Aptos" w:hAnsi="Aptos" w:eastAsia="Aptos" w:cs="Aptos"/>
          <w:noProof w:val="0"/>
          <w:color w:val="000000" w:themeColor="text1" w:themeTint="FF" w:themeShade="FF"/>
          <w:sz w:val="20"/>
          <w:szCs w:val="20"/>
          <w:lang w:val="en-US"/>
        </w:rPr>
        <w:t xml:space="preserve">demonstrate that RAG reliably improves output quality in cybersecurity tasks that, like maturity assessment, depend on grounding model reasoning in authoritative source material rather than general training knowledge. ChromaDB is an open-source vector database designed to store and search through vector embeddings efficiently, making it well suited for semantic retrieval tasks where the goal is finding meaning-based matches rather than exact keyword matches [25]. In GRC-LLM, RAG works as follows: each </w:t>
      </w:r>
      <w:r w:rsidRPr="0BB6A513" w:rsidR="35F9DF34">
        <w:rPr>
          <w:rFonts w:ascii="Aptos" w:hAnsi="Aptos" w:eastAsia="Aptos" w:cs="Aptos"/>
          <w:noProof w:val="0"/>
          <w:color w:val="000000" w:themeColor="text1" w:themeTint="FF" w:themeShade="FF"/>
          <w:sz w:val="20"/>
          <w:szCs w:val="20"/>
          <w:lang w:val="en-US"/>
        </w:rPr>
        <w:t>submitted</w:t>
      </w:r>
      <w:r w:rsidRPr="0BB6A513" w:rsidR="35F9DF34">
        <w:rPr>
          <w:rFonts w:ascii="Aptos" w:hAnsi="Aptos" w:eastAsia="Aptos" w:cs="Aptos"/>
          <w:noProof w:val="0"/>
          <w:color w:val="000000" w:themeColor="text1" w:themeTint="FF" w:themeShade="FF"/>
          <w:sz w:val="20"/>
          <w:szCs w:val="20"/>
          <w:lang w:val="en-US"/>
        </w:rPr>
        <w:t xml:space="preserve"> policy document is split into 400-token chunks with 50-token overlap, converted into vector embeddings using sentence-transformers, and stored in </w:t>
      </w:r>
      <w:r w:rsidRPr="0BB6A513" w:rsidR="35F9DF34">
        <w:rPr>
          <w:rFonts w:ascii="Aptos" w:hAnsi="Aptos" w:eastAsia="Aptos" w:cs="Aptos"/>
          <w:noProof w:val="0"/>
          <w:color w:val="000000" w:themeColor="text1" w:themeTint="FF" w:themeShade="FF"/>
          <w:sz w:val="20"/>
          <w:szCs w:val="20"/>
          <w:lang w:val="en-US"/>
        </w:rPr>
        <w:t>ChromaDB</w:t>
      </w:r>
      <w:r w:rsidRPr="0BB6A513" w:rsidR="35F9DF34">
        <w:rPr>
          <w:rFonts w:ascii="Aptos" w:hAnsi="Aptos" w:eastAsia="Aptos" w:cs="Aptos"/>
          <w:noProof w:val="0"/>
          <w:color w:val="000000" w:themeColor="text1" w:themeTint="FF" w:themeShade="FF"/>
          <w:sz w:val="20"/>
          <w:szCs w:val="20"/>
          <w:lang w:val="en-US"/>
        </w:rPr>
        <w:t xml:space="preserve">. For each </w:t>
      </w:r>
      <w:r w:rsidRPr="0BB6A513" w:rsidR="35F9DF34">
        <w:rPr>
          <w:rFonts w:ascii="Aptos" w:hAnsi="Aptos" w:eastAsia="Aptos" w:cs="Aptos"/>
          <w:noProof w:val="0"/>
          <w:color w:val="000000" w:themeColor="text1" w:themeTint="FF" w:themeShade="FF"/>
          <w:sz w:val="20"/>
          <w:szCs w:val="20"/>
          <w:lang w:val="en-US"/>
        </w:rPr>
        <w:t>framework</w:t>
      </w:r>
      <w:r w:rsidRPr="0BB6A513" w:rsidR="35F9DF34">
        <w:rPr>
          <w:rFonts w:ascii="Aptos" w:hAnsi="Aptos" w:eastAsia="Aptos" w:cs="Aptos"/>
          <w:noProof w:val="0"/>
          <w:color w:val="000000" w:themeColor="text1" w:themeTint="FF" w:themeShade="FF"/>
          <w:sz w:val="20"/>
          <w:szCs w:val="20"/>
          <w:lang w:val="en-US"/>
        </w:rPr>
        <w:t xml:space="preserve"> control, the system queries </w:t>
      </w:r>
      <w:r w:rsidRPr="0BB6A513" w:rsidR="35F9DF34">
        <w:rPr>
          <w:rFonts w:ascii="Aptos" w:hAnsi="Aptos" w:eastAsia="Aptos" w:cs="Aptos"/>
          <w:noProof w:val="0"/>
          <w:color w:val="000000" w:themeColor="text1" w:themeTint="FF" w:themeShade="FF"/>
          <w:sz w:val="20"/>
          <w:szCs w:val="20"/>
          <w:lang w:val="en-US"/>
        </w:rPr>
        <w:t>ChromaDB</w:t>
      </w:r>
      <w:r w:rsidRPr="0BB6A513" w:rsidR="35F9DF34">
        <w:rPr>
          <w:rFonts w:ascii="Aptos" w:hAnsi="Aptos" w:eastAsia="Aptos" w:cs="Aptos"/>
          <w:noProof w:val="0"/>
          <w:color w:val="000000" w:themeColor="text1" w:themeTint="FF" w:themeShade="FF"/>
          <w:sz w:val="20"/>
          <w:szCs w:val="20"/>
          <w:lang w:val="en-US"/>
        </w:rPr>
        <w:t xml:space="preserve"> to retrieve the five most semantically relevant chunks from the policy, which are then passed to Claude alongside the control requirement. This means every assessment is built on text the organization </w:t>
      </w:r>
      <w:r w:rsidRPr="0BB6A513" w:rsidR="35F9DF34">
        <w:rPr>
          <w:rFonts w:ascii="Aptos" w:hAnsi="Aptos" w:eastAsia="Aptos" w:cs="Aptos"/>
          <w:noProof w:val="0"/>
          <w:color w:val="000000" w:themeColor="text1" w:themeTint="FF" w:themeShade="FF"/>
          <w:sz w:val="20"/>
          <w:szCs w:val="20"/>
          <w:lang w:val="en-US"/>
        </w:rPr>
        <w:t>actually submitted</w:t>
      </w:r>
      <w:r w:rsidRPr="0BB6A513" w:rsidR="35F9DF34">
        <w:rPr>
          <w:rFonts w:ascii="Aptos" w:hAnsi="Aptos" w:eastAsia="Aptos" w:cs="Aptos"/>
          <w:noProof w:val="0"/>
          <w:color w:val="000000" w:themeColor="text1" w:themeTint="FF" w:themeShade="FF"/>
          <w:sz w:val="20"/>
          <w:szCs w:val="20"/>
          <w:lang w:val="en-US"/>
        </w:rPr>
        <w:t xml:space="preserve">, and human reviewers can check each finding directly against that source text. This design choice is reflected in GRC-LLM's own evaluation results: across the Scott and Scott and Department of Education policy documents, the system achieved an Evidence </w:t>
      </w:r>
      <w:r w:rsidRPr="0BB6A513" w:rsidR="35F9DF34">
        <w:rPr>
          <w:rFonts w:ascii="Aptos" w:hAnsi="Aptos" w:eastAsia="Aptos" w:cs="Aptos"/>
          <w:noProof w:val="0"/>
          <w:color w:val="000000" w:themeColor="text1" w:themeTint="FF" w:themeShade="FF"/>
          <w:sz w:val="20"/>
          <w:szCs w:val="20"/>
          <w:lang w:val="en-US"/>
        </w:rPr>
        <w:t>Groundedness</w:t>
      </w:r>
      <w:r w:rsidRPr="0BB6A513" w:rsidR="35F9DF34">
        <w:rPr>
          <w:rFonts w:ascii="Aptos" w:hAnsi="Aptos" w:eastAsia="Aptos" w:cs="Aptos"/>
          <w:noProof w:val="0"/>
          <w:color w:val="000000" w:themeColor="text1" w:themeTint="FF" w:themeShade="FF"/>
          <w:sz w:val="20"/>
          <w:szCs w:val="20"/>
          <w:lang w:val="en-US"/>
        </w:rPr>
        <w:t xml:space="preserve"> of 1.000 and 0.997 respectively when Claude was used as the base LLM, indicating that nearly every cited evidence excerpt could be verified as present in the submitted source document, consistent with the grounding benefits the RAG literature predicts.</w:t>
      </w:r>
    </w:p>
    <w:p xmlns:wp14="http://schemas.microsoft.com/office/word/2010/wordml" w:rsidP="11C5856B" w:rsidRDefault="00000000" w14:paraId="0000001E" wp14:textId="09BDD86C">
      <w:pPr>
        <w:spacing w:before="0" w:after="0" w:lineRule="auto"/>
        <w:ind/>
        <w:jc w:val="both"/>
      </w:pPr>
      <w:r w:rsidRPr="654048B6" w:rsidR="6783406A">
        <w:rPr>
          <w:rFonts w:ascii="Aptos" w:hAnsi="Aptos" w:eastAsia="Aptos" w:cs="Aptos"/>
          <w:noProof w:val="0"/>
          <w:color w:val="000000" w:themeColor="text1" w:themeTint="FF" w:themeShade="FF"/>
          <w:sz w:val="20"/>
          <w:szCs w:val="20"/>
          <w:lang w:val="en-US"/>
        </w:rPr>
        <w:t xml:space="preserve">Beyond hallucination, the literature </w:t>
      </w:r>
      <w:r w:rsidRPr="654048B6" w:rsidR="6783406A">
        <w:rPr>
          <w:rFonts w:ascii="Aptos" w:hAnsi="Aptos" w:eastAsia="Aptos" w:cs="Aptos"/>
          <w:noProof w:val="0"/>
          <w:color w:val="000000" w:themeColor="text1" w:themeTint="FF" w:themeShade="FF"/>
          <w:sz w:val="20"/>
          <w:szCs w:val="20"/>
          <w:lang w:val="en-US"/>
        </w:rPr>
        <w:t>identifies</w:t>
      </w:r>
      <w:r w:rsidRPr="654048B6" w:rsidR="6783406A">
        <w:rPr>
          <w:rFonts w:ascii="Aptos" w:hAnsi="Aptos" w:eastAsia="Aptos" w:cs="Aptos"/>
          <w:noProof w:val="0"/>
          <w:color w:val="000000" w:themeColor="text1" w:themeTint="FF" w:themeShade="FF"/>
          <w:sz w:val="20"/>
          <w:szCs w:val="20"/>
          <w:lang w:val="en-US"/>
        </w:rPr>
        <w:t xml:space="preserve"> explainability as a first-class requirement for AI systems deployed in compliance contexts. Research synthesizing explainable AI (XAI) techniques confirms that interpretable models enable faster and more confident responses from human analysts, and that transparent decision-making is especially critical in regulated industries where accountability must be demonstrable to auditors and legal stakeholders [14, 15]. </w:t>
      </w:r>
      <w:r w:rsidRPr="654048B6" w:rsidR="6783406A">
        <w:rPr>
          <w:rFonts w:ascii="Aptos" w:hAnsi="Aptos" w:eastAsia="Aptos" w:cs="Aptos"/>
          <w:noProof w:val="0"/>
          <w:color w:val="000000" w:themeColor="text1" w:themeTint="FF" w:themeShade="FF"/>
          <w:sz w:val="20"/>
          <w:szCs w:val="20"/>
          <w:lang w:val="en-US"/>
        </w:rPr>
        <w:t xml:space="preserve">The European Union AI Act's emerging mandates further reinforce this direction, requiring transparency, bias detection, and documented human oversight for AI systems </w:t>
      </w:r>
      <w:r w:rsidRPr="654048B6" w:rsidR="6783406A">
        <w:rPr>
          <w:rFonts w:ascii="Aptos" w:hAnsi="Aptos" w:eastAsia="Aptos" w:cs="Aptos"/>
          <w:noProof w:val="0"/>
          <w:color w:val="000000" w:themeColor="text1" w:themeTint="FF" w:themeShade="FF"/>
          <w:sz w:val="20"/>
          <w:szCs w:val="20"/>
          <w:lang w:val="en-US"/>
        </w:rPr>
        <w:t>operating</w:t>
      </w:r>
      <w:r w:rsidRPr="654048B6" w:rsidR="6783406A">
        <w:rPr>
          <w:rFonts w:ascii="Aptos" w:hAnsi="Aptos" w:eastAsia="Aptos" w:cs="Aptos"/>
          <w:noProof w:val="0"/>
          <w:color w:val="000000" w:themeColor="text1" w:themeTint="FF" w:themeShade="FF"/>
          <w:sz w:val="20"/>
          <w:szCs w:val="20"/>
          <w:lang w:val="en-US"/>
        </w:rPr>
        <w:t xml:space="preserve"> in consequential decision domains [16].</w:t>
      </w:r>
      <w:r w:rsidRPr="654048B6" w:rsidR="6783406A">
        <w:rPr>
          <w:rFonts w:ascii="Aptos" w:hAnsi="Aptos" w:eastAsia="Aptos" w:cs="Aptos"/>
          <w:noProof w:val="0"/>
          <w:color w:val="000000" w:themeColor="text1" w:themeTint="FF" w:themeShade="FF"/>
          <w:sz w:val="20"/>
          <w:szCs w:val="20"/>
          <w:lang w:val="en-US"/>
        </w:rPr>
        <w:t xml:space="preserve"> GRC-LLM addresses this requirement through structured JSON outputs that pair each maturity score with explicit </w:t>
      </w:r>
      <w:r w:rsidRPr="654048B6" w:rsidR="6783406A">
        <w:rPr>
          <w:rFonts w:ascii="Aptos" w:hAnsi="Aptos" w:eastAsia="Aptos" w:cs="Aptos"/>
          <w:noProof w:val="0"/>
          <w:color w:val="000000" w:themeColor="text1" w:themeTint="FF" w:themeShade="FF"/>
          <w:sz w:val="20"/>
          <w:szCs w:val="20"/>
          <w:lang w:val="en-US"/>
        </w:rPr>
        <w:t>evidence</w:t>
      </w:r>
      <w:r w:rsidRPr="654048B6" w:rsidR="6783406A">
        <w:rPr>
          <w:rFonts w:ascii="Aptos" w:hAnsi="Aptos" w:eastAsia="Aptos" w:cs="Aptos"/>
          <w:noProof w:val="0"/>
          <w:color w:val="000000" w:themeColor="text1" w:themeTint="FF" w:themeShade="FF"/>
          <w:sz w:val="20"/>
          <w:szCs w:val="20"/>
          <w:lang w:val="en-US"/>
        </w:rPr>
        <w:t xml:space="preserve"> references and control-level justifications, enabling analysts to inspect and override the system's reasoning at a granular level.</w:t>
      </w:r>
    </w:p>
    <w:p xmlns:wp14="http://schemas.microsoft.com/office/word/2010/wordml" w:rsidRDefault="00000000" w14:paraId="0000001F" wp14:textId="1214B82E">
      <w:pPr>
        <w:pStyle w:val="Heading2"/>
      </w:pPr>
      <w:bookmarkStart w:name="_heading=h.3vu2j4e3vj2v" w:id="3"/>
      <w:bookmarkEnd w:id="3"/>
      <w:r w:rsidR="1AC55103">
        <w:rPr/>
        <w:t xml:space="preserve">IV.  Cybersecurity </w:t>
      </w:r>
      <w:r w:rsidR="711A704C">
        <w:rPr/>
        <w:t>M</w:t>
      </w:r>
      <w:r w:rsidR="1AC55103">
        <w:rPr/>
        <w:t xml:space="preserve">aturity </w:t>
      </w:r>
      <w:r w:rsidR="354885F5">
        <w:rPr/>
        <w:t>F</w:t>
      </w:r>
      <w:r w:rsidR="1AC55103">
        <w:rPr/>
        <w:t>rameworks</w:t>
      </w:r>
    </w:p>
    <w:p w:rsidR="6A90805C" w:rsidP="654048B6" w:rsidRDefault="6A90805C" w14:paraId="6AAC6FE0" w14:textId="6E4CEA91">
      <w:pPr>
        <w:jc w:val="both"/>
        <w:rPr>
          <w:rFonts w:ascii="Aptos" w:hAnsi="Aptos" w:eastAsia="Aptos" w:cs="Aptos"/>
          <w:noProof w:val="0"/>
          <w:color w:val="000000" w:themeColor="text1" w:themeTint="FF" w:themeShade="FF"/>
          <w:sz w:val="20"/>
          <w:szCs w:val="20"/>
          <w:lang w:val="en-US"/>
        </w:rPr>
      </w:pPr>
      <w:r w:rsidRPr="654048B6" w:rsidR="19A09055">
        <w:rPr>
          <w:rFonts w:ascii="Aptos" w:hAnsi="Aptos" w:eastAsia="Aptos" w:cs="Aptos"/>
          <w:noProof w:val="0"/>
          <w:color w:val="000000" w:themeColor="text1" w:themeTint="FF" w:themeShade="FF"/>
          <w:sz w:val="20"/>
          <w:szCs w:val="20"/>
          <w:lang w:val="en-US"/>
        </w:rPr>
        <w:t>The theoretical foundation for maturity-based assessment is well established.</w:t>
      </w:r>
      <w:r w:rsidRPr="654048B6" w:rsidR="0028792C">
        <w:rPr>
          <w:rFonts w:ascii="Aptos" w:hAnsi="Aptos" w:eastAsia="Aptos" w:cs="Aptos"/>
          <w:noProof w:val="0"/>
          <w:color w:val="000000" w:themeColor="text1" w:themeTint="FF" w:themeShade="FF"/>
          <w:sz w:val="20"/>
          <w:szCs w:val="20"/>
          <w:lang w:val="en-US"/>
        </w:rPr>
        <w:t xml:space="preserve"> The Cybersecurity Maturity Model Certification (CMMC), a U.S. Department of Defense framework that requires defense contractors to demonstrate cybersecurity maturity across three certification levels, and the NIST capability maturity model together formalize a five-level taxonomy that moves beyond binary compliance indicators to reflect the operational effectiveness of security programs [17].</w:t>
      </w:r>
      <w:r w:rsidRPr="654048B6" w:rsidR="19A09055">
        <w:rPr>
          <w:rFonts w:ascii="Aptos" w:hAnsi="Aptos" w:eastAsia="Aptos" w:cs="Aptos"/>
          <w:noProof w:val="0"/>
          <w:color w:val="000000" w:themeColor="text1" w:themeTint="FF" w:themeShade="FF"/>
          <w:sz w:val="20"/>
          <w:szCs w:val="20"/>
          <w:lang w:val="en-US"/>
        </w:rPr>
        <w:t xml:space="preserve"> </w:t>
      </w:r>
      <w:r w:rsidRPr="654048B6" w:rsidR="19A09055">
        <w:rPr>
          <w:rFonts w:ascii="Aptos" w:hAnsi="Aptos" w:eastAsia="Aptos" w:cs="Aptos"/>
          <w:noProof w:val="0"/>
          <w:color w:val="000000" w:themeColor="text1" w:themeTint="FF" w:themeShade="FF"/>
          <w:sz w:val="20"/>
          <w:szCs w:val="20"/>
          <w:lang w:val="en-US"/>
        </w:rPr>
        <w:t xml:space="preserve">This is the key distinction between a maturity assessment and a standard compliance check: where a compliance check asks whether a given control is present or absent, producing a pass or fail outcome, a maturity assessment asks how consistently and effectively that control is implemented, producing a graded score. </w:t>
      </w:r>
      <w:r w:rsidRPr="654048B6" w:rsidR="19A09055">
        <w:rPr>
          <w:rFonts w:ascii="Aptos" w:hAnsi="Aptos" w:eastAsia="Aptos" w:cs="Aptos"/>
          <w:noProof w:val="0"/>
          <w:color w:val="000000" w:themeColor="text1" w:themeTint="FF" w:themeShade="FF"/>
          <w:sz w:val="20"/>
          <w:szCs w:val="20"/>
          <w:lang w:val="en-US"/>
        </w:rPr>
        <w:t xml:space="preserve">GRC-LLM implements this as a 0 to 5 scale with named levels: 0 is Not Implemented, 1 is Initial meaning ad hoc mention with no formal process, 2 is Developing meaning some elements are present but incomplete, 3 is Defined meaning a formal documented process exists, 4 is Managed meaning the control is measured and monitored with metrics, and 5 is Optimized meaning the control is continuously improved. </w:t>
      </w:r>
    </w:p>
    <w:p w:rsidR="2E28E419" w:rsidP="654048B6" w:rsidRDefault="2E28E419" w14:paraId="6CF77DAB" w14:textId="158ACB3B">
      <w:pPr>
        <w:pStyle w:val="Normal"/>
        <w:jc w:val="both"/>
        <w:rPr>
          <w:rFonts w:ascii="Aptos" w:hAnsi="Aptos" w:eastAsia="Aptos" w:cs="Aptos"/>
          <w:noProof w:val="0"/>
          <w:color w:val="000000" w:themeColor="text1" w:themeTint="FF" w:themeShade="FF"/>
          <w:sz w:val="20"/>
          <w:szCs w:val="20"/>
          <w:lang w:val="en-US"/>
        </w:rPr>
      </w:pPr>
      <w:r w:rsidRPr="654048B6" w:rsidR="2E28E419">
        <w:rPr>
          <w:rFonts w:ascii="Aptos" w:hAnsi="Aptos" w:eastAsia="Aptos" w:cs="Aptos"/>
          <w:noProof w:val="0"/>
          <w:color w:val="000000" w:themeColor="text1" w:themeTint="FF" w:themeShade="FF"/>
          <w:sz w:val="20"/>
          <w:szCs w:val="20"/>
          <w:lang w:val="en-US"/>
        </w:rPr>
        <w:t xml:space="preserve">In practice, an informal self-assessment may rely on internal interviews, professional judgment, or ad hoc checklists, with findings recorded inconsistently and without standardized evidence requirements. A formal maturity assessment, by contrast, </w:t>
      </w:r>
      <w:r w:rsidRPr="654048B6" w:rsidR="2E28E419">
        <w:rPr>
          <w:rFonts w:ascii="Aptos" w:hAnsi="Aptos" w:eastAsia="Aptos" w:cs="Aptos"/>
          <w:noProof w:val="0"/>
          <w:color w:val="000000" w:themeColor="text1" w:themeTint="FF" w:themeShade="FF"/>
          <w:sz w:val="20"/>
          <w:szCs w:val="20"/>
          <w:lang w:val="en-US"/>
        </w:rPr>
        <w:t>applies</w:t>
      </w:r>
      <w:r w:rsidRPr="654048B6" w:rsidR="2E28E419">
        <w:rPr>
          <w:rFonts w:ascii="Aptos" w:hAnsi="Aptos" w:eastAsia="Aptos" w:cs="Aptos"/>
          <w:noProof w:val="0"/>
          <w:color w:val="000000" w:themeColor="text1" w:themeTint="FF" w:themeShade="FF"/>
          <w:sz w:val="20"/>
          <w:szCs w:val="20"/>
          <w:lang w:val="en-US"/>
        </w:rPr>
        <w:t xml:space="preserve"> predefined criteria, documented evidence, repeatable scoring procedures, and an auditable record explaining how each score was assigned. This distinction helps explain why structured maturity frameworks can support more consistent resource allocation, stronger audit readiness, and fewer compliance gaps than informal self-assessment [18]. </w:t>
      </w:r>
    </w:p>
    <w:p w:rsidR="6A90805C" w:rsidP="6F0FB94D" w:rsidRDefault="6A90805C" w14:paraId="4649DC3E" w14:textId="73761529">
      <w:pPr>
        <w:jc w:val="both"/>
        <w:rPr>
          <w:rFonts w:ascii="Aptos" w:hAnsi="Aptos" w:eastAsia="Aptos" w:cs="Aptos"/>
          <w:noProof w:val="0"/>
          <w:color w:val="000000" w:themeColor="text1" w:themeTint="FF" w:themeShade="FF"/>
          <w:sz w:val="20"/>
          <w:szCs w:val="20"/>
          <w:lang w:val="en-US"/>
        </w:rPr>
      </w:pPr>
      <w:r w:rsidRPr="6F0FB94D" w:rsidR="19A09055">
        <w:rPr>
          <w:rFonts w:ascii="Aptos" w:hAnsi="Aptos" w:eastAsia="Aptos" w:cs="Aptos"/>
          <w:noProof w:val="0"/>
          <w:color w:val="000000" w:themeColor="text1" w:themeTint="FF" w:themeShade="FF"/>
          <w:sz w:val="20"/>
          <w:szCs w:val="20"/>
          <w:lang w:val="en-US"/>
        </w:rPr>
        <w:t xml:space="preserve">The NIST SP 800-53 control family structure, spanning Access Control, Incident Response, Risk Assessment, Configuration Management, and related domains, provides the granular scoring substrate for GRC-LLM's weighted maturity model. Individual control scores are aggregated into control family scores, which are then weighted by system impact level to produce an overall framework posture score on the 0 to 5 scale. The specific weighting configuration is customizable within the system, allowing organizations to adjust weights based on their risk profile and applicable regulatory requirements. </w:t>
      </w:r>
      <w:r w:rsidRPr="6F0FB94D" w:rsidR="09D84C6D">
        <w:rPr>
          <w:rFonts w:ascii="Aptos" w:hAnsi="Aptos" w:eastAsia="Aptos" w:cs="Aptos"/>
          <w:noProof w:val="0"/>
          <w:color w:val="000000" w:themeColor="text1" w:themeTint="FF" w:themeShade="FF"/>
          <w:sz w:val="20"/>
          <w:szCs w:val="20"/>
          <w:lang w:val="en-US"/>
        </w:rPr>
        <w:t>This approach p</w:t>
      </w:r>
      <w:r w:rsidRPr="6F0FB94D" w:rsidR="09D84C6D">
        <w:rPr>
          <w:rFonts w:ascii="Aptos" w:hAnsi="Aptos" w:eastAsia="Aptos" w:cs="Aptos"/>
          <w:noProof w:val="0"/>
          <w:color w:val="000000" w:themeColor="text1" w:themeTint="FF" w:themeShade="FF"/>
          <w:sz w:val="20"/>
          <w:szCs w:val="20"/>
          <w:lang w:val="en-US"/>
        </w:rPr>
        <w:t xml:space="preserve">reserves the interpretability of domain-level </w:t>
      </w:r>
      <w:r w:rsidRPr="6F0FB94D" w:rsidR="09D84C6D">
        <w:rPr>
          <w:rFonts w:ascii="Aptos" w:hAnsi="Aptos" w:eastAsia="Aptos" w:cs="Aptos"/>
          <w:noProof w:val="0"/>
          <w:color w:val="000000" w:themeColor="text1" w:themeTint="FF" w:themeShade="FF"/>
          <w:sz w:val="20"/>
          <w:szCs w:val="20"/>
          <w:lang w:val="en-US"/>
        </w:rPr>
        <w:t>subscores</w:t>
      </w:r>
      <w:r w:rsidRPr="6F0FB94D" w:rsidR="09D84C6D">
        <w:rPr>
          <w:rFonts w:ascii="Aptos" w:hAnsi="Aptos" w:eastAsia="Aptos" w:cs="Aptos"/>
          <w:noProof w:val="0"/>
          <w:color w:val="000000" w:themeColor="text1" w:themeTint="FF" w:themeShade="FF"/>
          <w:sz w:val="20"/>
          <w:szCs w:val="20"/>
          <w:lang w:val="en-US"/>
        </w:rPr>
        <w:t xml:space="preserve">. </w:t>
      </w:r>
    </w:p>
    <w:p xmlns:wp14="http://schemas.microsoft.com/office/word/2010/wordml" w:rsidP="11C5856B" w:rsidRDefault="00000000" w14:paraId="00000023" wp14:textId="0B17512D">
      <w:pPr>
        <w:pStyle w:val="Heading2"/>
        <w:ind/>
      </w:pPr>
      <w:bookmarkStart w:name="_heading=h.r1mcpm3o45wu" w:id="4"/>
      <w:bookmarkEnd w:id="4"/>
      <w:r w:rsidR="1AC55103">
        <w:rPr/>
        <w:t xml:space="preserve">V.  </w:t>
      </w:r>
      <w:r w:rsidR="1AC55103">
        <w:rPr/>
        <w:t>Human-in-the-Loop</w:t>
      </w:r>
      <w:r w:rsidR="1AC55103">
        <w:rPr/>
        <w:t xml:space="preserve"> as Architectural Imperative</w:t>
      </w:r>
    </w:p>
    <w:p w:rsidR="22145F25" w:rsidP="654048B6" w:rsidRDefault="22145F25" w14:paraId="08B9F95F" w14:textId="20E956A3">
      <w:pPr>
        <w:spacing w:before="0" w:after="0"/>
        <w:ind/>
        <w:jc w:val="both"/>
        <w:rPr>
          <w:rFonts w:ascii="Aptos" w:hAnsi="Aptos" w:eastAsia="Aptos" w:cs="Aptos"/>
          <w:noProof w:val="0"/>
          <w:color w:val="000000" w:themeColor="text1" w:themeTint="FF" w:themeShade="FF"/>
          <w:sz w:val="20"/>
          <w:szCs w:val="20"/>
          <w:lang w:val="en-US"/>
        </w:rPr>
      </w:pPr>
      <w:r w:rsidRPr="654048B6" w:rsidR="32F29D9B">
        <w:rPr>
          <w:rFonts w:ascii="Aptos" w:hAnsi="Aptos" w:eastAsia="Aptos" w:cs="Aptos"/>
          <w:noProof w:val="0"/>
          <w:color w:val="000000" w:themeColor="text1" w:themeTint="FF" w:themeShade="FF"/>
          <w:sz w:val="20"/>
          <w:szCs w:val="20"/>
          <w:lang w:val="en-US"/>
        </w:rPr>
        <w:t>A recurring finding across the AI compliance and cybersecurity literature is that full automation of judgment-sensitive assessment tasks introduces reliability, accountability, and governance risks.</w:t>
      </w:r>
      <w:r w:rsidRPr="654048B6" w:rsidR="6C0673BA">
        <w:rPr>
          <w:rFonts w:ascii="Aptos" w:hAnsi="Aptos" w:eastAsia="Aptos" w:cs="Aptos"/>
          <w:noProof w:val="0"/>
          <w:color w:val="000000" w:themeColor="text1" w:themeTint="FF" w:themeShade="FF"/>
          <w:sz w:val="20"/>
          <w:szCs w:val="20"/>
          <w:lang w:val="en-US"/>
        </w:rPr>
        <w:t xml:space="preserve"> </w:t>
      </w:r>
    </w:p>
    <w:p w:rsidR="0F7E4721" w:rsidP="654048B6" w:rsidRDefault="0F7E4721" w14:paraId="59476C09" w14:textId="0B79920A">
      <w:pPr>
        <w:jc w:val="both"/>
      </w:pPr>
      <w:r w:rsidRPr="654048B6" w:rsidR="0F7E4721">
        <w:rPr>
          <w:rFonts w:ascii="Aptos" w:hAnsi="Aptos" w:eastAsia="Aptos" w:cs="Aptos"/>
          <w:noProof w:val="0"/>
          <w:color w:val="000000" w:themeColor="text1" w:themeTint="FF" w:themeShade="FF"/>
          <w:sz w:val="20"/>
          <w:szCs w:val="20"/>
          <w:lang w:val="en-US"/>
        </w:rPr>
        <w:t>In cybersecurity contexts, Zhang et al. [20] survey AI applications in user-access authentication, network situation awareness, dangerous-behavior monitoring, and abnormal-traffic identification. Although their study does not focus exclusively on multi-factor authentication (MFA), its discussion of AI-assisted authentication suggests that biometric and behavioral signals can supplement conventional authentication factors and support more adaptive or continuous verification. The authors nevertheless emphasize that AI-supported security decisions require human oversight in high-consequence contexts. Their human-in-the-loop model treats analysts as active validators of automated outputs rather than passive recipients of machine-generated conclusions, providing a useful architectural foundation for GRC-LLM.</w:t>
      </w:r>
    </w:p>
    <w:p w:rsidR="22145F25" w:rsidP="5C222896" w:rsidRDefault="22145F25" w14:paraId="248670E3" w14:textId="1B697675">
      <w:pPr>
        <w:spacing w:before="0" w:after="0"/>
        <w:ind/>
        <w:jc w:val="both"/>
      </w:pPr>
      <w:r w:rsidRPr="654048B6" w:rsidR="32F29D9B">
        <w:rPr>
          <w:rFonts w:ascii="Aptos" w:hAnsi="Aptos" w:eastAsia="Aptos" w:cs="Aptos"/>
          <w:noProof w:val="0"/>
          <w:color w:val="000000" w:themeColor="text1" w:themeTint="FF" w:themeShade="FF"/>
          <w:sz w:val="20"/>
          <w:szCs w:val="20"/>
          <w:lang w:val="en-US"/>
        </w:rPr>
        <w:t xml:space="preserve">This principle is also consistent with emerging AI governance frameworks. The NIST AI Risk Management Framework emphasizes trustworthy AI characteristics such as validity, reliability, safety, security, transparency, explainability, accountability, and human oversight [21]. </w:t>
      </w:r>
      <w:r w:rsidRPr="654048B6" w:rsidR="32F29D9B">
        <w:rPr>
          <w:rFonts w:ascii="Aptos" w:hAnsi="Aptos" w:eastAsia="Aptos" w:cs="Aptos"/>
          <w:noProof w:val="0"/>
          <w:color w:val="000000" w:themeColor="text1" w:themeTint="FF" w:themeShade="FF"/>
          <w:sz w:val="20"/>
          <w:szCs w:val="20"/>
          <w:lang w:val="en-US"/>
        </w:rPr>
        <w:t>Similarly, the EU AI Act requires human oversight for high-risk AI systems in order to prevent or minimize risks that may persist even when other technical safeguards are in place [22].</w:t>
      </w:r>
      <w:r w:rsidRPr="654048B6" w:rsidR="32F29D9B">
        <w:rPr>
          <w:rFonts w:ascii="Aptos" w:hAnsi="Aptos" w:eastAsia="Aptos" w:cs="Aptos"/>
          <w:noProof w:val="0"/>
          <w:color w:val="000000" w:themeColor="text1" w:themeTint="FF" w:themeShade="FF"/>
          <w:sz w:val="20"/>
          <w:szCs w:val="20"/>
          <w:lang w:val="en-US"/>
        </w:rPr>
        <w:t xml:space="preserve"> </w:t>
      </w:r>
      <w:r w:rsidRPr="654048B6" w:rsidR="32F29D9B">
        <w:rPr>
          <w:rFonts w:ascii="Aptos" w:hAnsi="Aptos" w:eastAsia="Aptos" w:cs="Aptos"/>
          <w:noProof w:val="0"/>
          <w:color w:val="000000" w:themeColor="text1" w:themeTint="FF" w:themeShade="FF"/>
          <w:sz w:val="20"/>
          <w:szCs w:val="20"/>
          <w:lang w:val="en-US"/>
        </w:rPr>
        <w:t>Although GRC-LLM is not designed to make autonomous legal or regulatory determinations, cybersecurity maturity assessment remains a judgment-sensitive workflow because incorrect mappings, unsupported maturity scores, or missing evidence may lead to inaccurate compliance conclusions.</w:t>
      </w:r>
    </w:p>
    <w:p w:rsidR="22145F25" w:rsidP="654048B6" w:rsidRDefault="22145F25" w14:paraId="695783A0" w14:textId="41E8B9A5">
      <w:pPr>
        <w:pStyle w:val="Normal"/>
        <w:spacing w:before="0" w:after="0"/>
        <w:ind/>
        <w:jc w:val="center"/>
      </w:pPr>
      <w:r w:rsidR="6D4FF25A">
        <w:drawing>
          <wp:inline wp14:editId="286CCFB0" wp14:anchorId="2CECDFFB">
            <wp:extent cx="1085850" cy="2962275"/>
            <wp:effectExtent l="0" t="0" r="0" b="0"/>
            <wp:docPr id="20091507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9150763" name="Picture 2009150763"/>
                    <pic:cNvPicPr/>
                  </pic:nvPicPr>
                  <pic:blipFill>
                    <a:blip xmlns:r="http://schemas.openxmlformats.org/officeDocument/2006/relationships" r:embed="rId951239422">
                      <a:extLst>
                        <a:ext uri="{28A0092B-C50C-407E-A947-70E740481C1C}">
                          <a14:useLocalDpi xmlns:a14="http://schemas.microsoft.com/office/drawing/2010/main"/>
                        </a:ext>
                      </a:extLst>
                    </a:blip>
                    <a:stretch>
                      <a:fillRect/>
                    </a:stretch>
                  </pic:blipFill>
                  <pic:spPr>
                    <a:xfrm>
                      <a:off x="0" y="0"/>
                      <a:ext cx="1085850" cy="2962275"/>
                    </a:xfrm>
                    <a:prstGeom prst="rect">
                      <a:avLst/>
                    </a:prstGeom>
                  </pic:spPr>
                </pic:pic>
              </a:graphicData>
            </a:graphic>
          </wp:inline>
        </w:drawing>
      </w:r>
    </w:p>
    <w:p w:rsidR="22145F25" w:rsidP="654048B6" w:rsidRDefault="22145F25" w14:paraId="30E261D8" w14:textId="40ED8F0B">
      <w:pPr>
        <w:spacing w:before="0" w:after="0"/>
        <w:ind/>
        <w:jc w:val="center"/>
        <w:rPr>
          <w:rFonts w:ascii="Aptos" w:hAnsi="Aptos" w:eastAsia="Aptos" w:cs="Aptos"/>
          <w:noProof w:val="0"/>
          <w:color w:val="000000" w:themeColor="text1" w:themeTint="FF" w:themeShade="FF"/>
          <w:sz w:val="20"/>
          <w:szCs w:val="20"/>
          <w:lang w:val="en-US"/>
        </w:rPr>
      </w:pPr>
      <w:r w:rsidRPr="654048B6" w:rsidR="6D4FF25A">
        <w:rPr>
          <w:rFonts w:ascii="Aptos" w:hAnsi="Aptos" w:eastAsia="Aptos" w:cs="Aptos"/>
          <w:noProof w:val="0"/>
          <w:color w:val="000000" w:themeColor="text1" w:themeTint="FF" w:themeShade="FF"/>
          <w:sz w:val="20"/>
          <w:szCs w:val="20"/>
          <w:lang w:val="en-US"/>
        </w:rPr>
        <w:t xml:space="preserve">Fig. </w:t>
      </w:r>
      <w:r w:rsidRPr="654048B6" w:rsidR="5F864EB3">
        <w:rPr>
          <w:rFonts w:ascii="Aptos" w:hAnsi="Aptos" w:eastAsia="Aptos" w:cs="Aptos"/>
          <w:noProof w:val="0"/>
          <w:color w:val="000000" w:themeColor="text1" w:themeTint="FF" w:themeShade="FF"/>
          <w:sz w:val="20"/>
          <w:szCs w:val="20"/>
          <w:lang w:val="en-US"/>
        </w:rPr>
        <w:t>2</w:t>
      </w:r>
      <w:r w:rsidRPr="654048B6" w:rsidR="6D4FF25A">
        <w:rPr>
          <w:rFonts w:ascii="Aptos" w:hAnsi="Aptos" w:eastAsia="Aptos" w:cs="Aptos"/>
          <w:noProof w:val="0"/>
          <w:color w:val="000000" w:themeColor="text1" w:themeTint="FF" w:themeShade="FF"/>
          <w:sz w:val="20"/>
          <w:szCs w:val="20"/>
          <w:lang w:val="en-US"/>
        </w:rPr>
        <w:t>. Human-in-the-loop validation workflow for GRC-LLM-generated assessments.</w:t>
      </w:r>
    </w:p>
    <w:p w:rsidR="22145F25" w:rsidP="654048B6" w:rsidRDefault="22145F25" w14:paraId="7202C21B" w14:textId="68D2137A">
      <w:pPr>
        <w:spacing w:before="0" w:after="0"/>
        <w:ind/>
        <w:jc w:val="both"/>
        <w:rPr>
          <w:rFonts w:ascii="Aptos" w:hAnsi="Aptos" w:eastAsia="Aptos" w:cs="Aptos"/>
          <w:noProof w:val="0"/>
          <w:color w:val="000000" w:themeColor="text1" w:themeTint="FF" w:themeShade="FF"/>
          <w:sz w:val="20"/>
          <w:szCs w:val="20"/>
          <w:lang w:val="en-US"/>
        </w:rPr>
      </w:pPr>
    </w:p>
    <w:p w:rsidR="22145F25" w:rsidP="654048B6" w:rsidRDefault="22145F25" w14:paraId="3AB27EDE" w14:textId="1406C398">
      <w:pPr>
        <w:pStyle w:val="Normal"/>
        <w:spacing w:before="0" w:after="0"/>
        <w:ind/>
        <w:jc w:val="both"/>
      </w:pPr>
      <w:r w:rsidRPr="654048B6" w:rsidR="71A68AE3">
        <w:rPr>
          <w:rFonts w:ascii="Aptos" w:hAnsi="Aptos" w:eastAsia="Aptos" w:cs="Aptos"/>
          <w:noProof w:val="0"/>
          <w:color w:val="000000" w:themeColor="text1" w:themeTint="FF" w:themeShade="FF"/>
          <w:sz w:val="20"/>
          <w:szCs w:val="20"/>
          <w:lang w:val="en-US"/>
        </w:rPr>
        <w:t>As illustrated in Fig. 2, the analyst may confirm, revise, or reject the LLM-generated assessment before it is treated as a final result.</w:t>
      </w:r>
      <w:r w:rsidRPr="654048B6" w:rsidR="1BDF87C0">
        <w:rPr>
          <w:rFonts w:ascii="Aptos" w:hAnsi="Aptos" w:eastAsia="Aptos" w:cs="Aptos"/>
          <w:noProof w:val="0"/>
          <w:color w:val="000000" w:themeColor="text1" w:themeTint="FF" w:themeShade="FF"/>
          <w:sz w:val="20"/>
          <w:szCs w:val="20"/>
          <w:lang w:val="en-US"/>
        </w:rPr>
        <w:t xml:space="preserve"> </w:t>
      </w:r>
      <w:r w:rsidRPr="654048B6" w:rsidR="32F29D9B">
        <w:rPr>
          <w:rFonts w:ascii="Aptos" w:hAnsi="Aptos" w:eastAsia="Aptos" w:cs="Aptos"/>
          <w:noProof w:val="0"/>
          <w:color w:val="000000" w:themeColor="text1" w:themeTint="FF" w:themeShade="FF"/>
          <w:sz w:val="20"/>
          <w:szCs w:val="20"/>
          <w:lang w:val="en-US"/>
        </w:rPr>
        <w:t>Accordingl</w:t>
      </w:r>
      <w:r w:rsidRPr="654048B6" w:rsidR="32F29D9B">
        <w:rPr>
          <w:rFonts w:ascii="Aptos" w:hAnsi="Aptos" w:eastAsia="Aptos" w:cs="Aptos"/>
          <w:noProof w:val="0"/>
          <w:color w:val="000000" w:themeColor="text1" w:themeTint="FF" w:themeShade="FF"/>
          <w:sz w:val="20"/>
          <w:szCs w:val="20"/>
          <w:lang w:val="en-US"/>
        </w:rPr>
        <w:t>y</w:t>
      </w:r>
      <w:r w:rsidRPr="654048B6" w:rsidR="32F29D9B">
        <w:rPr>
          <w:rFonts w:ascii="Aptos" w:hAnsi="Aptos" w:eastAsia="Aptos" w:cs="Aptos"/>
          <w:noProof w:val="0"/>
          <w:color w:val="000000" w:themeColor="text1" w:themeTint="FF" w:themeShade="FF"/>
          <w:sz w:val="20"/>
          <w:szCs w:val="20"/>
          <w:lang w:val="en-US"/>
        </w:rPr>
        <w:t xml:space="preserve">, GRC-LLM adopts human-in-the-loop review as a core design requirement rather than an optional post-processing step, consistent with the principles </w:t>
      </w:r>
      <w:r w:rsidRPr="654048B6" w:rsidR="32F29D9B">
        <w:rPr>
          <w:rFonts w:ascii="Aptos" w:hAnsi="Aptos" w:eastAsia="Aptos" w:cs="Aptos"/>
          <w:noProof w:val="0"/>
          <w:color w:val="000000" w:themeColor="text1" w:themeTint="FF" w:themeShade="FF"/>
          <w:sz w:val="20"/>
          <w:szCs w:val="20"/>
          <w:lang w:val="en-US"/>
        </w:rPr>
        <w:t>established</w:t>
      </w:r>
      <w:r w:rsidRPr="654048B6" w:rsidR="32F29D9B">
        <w:rPr>
          <w:rFonts w:ascii="Aptos" w:hAnsi="Aptos" w:eastAsia="Aptos" w:cs="Aptos"/>
          <w:noProof w:val="0"/>
          <w:color w:val="000000" w:themeColor="text1" w:themeTint="FF" w:themeShade="FF"/>
          <w:sz w:val="20"/>
          <w:szCs w:val="20"/>
          <w:lang w:val="en-US"/>
        </w:rPr>
        <w:t xml:space="preserve"> by Zhang et al. [20] and the oversight requirements in [21] and [22]. Automated LLM outputs are paired with retrieved evidence, confidence scores, and control-level justifications.</w:t>
      </w:r>
      <w:r w:rsidRPr="654048B6" w:rsidR="32F29D9B">
        <w:rPr>
          <w:rFonts w:ascii="Aptos" w:hAnsi="Aptos" w:eastAsia="Aptos" w:cs="Aptos"/>
          <w:noProof w:val="0"/>
          <w:color w:val="000000" w:themeColor="text1" w:themeTint="FF" w:themeShade="FF"/>
          <w:sz w:val="20"/>
          <w:szCs w:val="20"/>
          <w:lang w:val="en-US"/>
        </w:rPr>
        <w:t xml:space="preserve"> High-confidence outputs </w:t>
      </w:r>
      <w:r w:rsidRPr="654048B6" w:rsidR="32F29D9B">
        <w:rPr>
          <w:rFonts w:ascii="Aptos" w:hAnsi="Aptos" w:eastAsia="Aptos" w:cs="Aptos"/>
          <w:noProof w:val="0"/>
          <w:color w:val="000000" w:themeColor="text1" w:themeTint="FF" w:themeShade="FF"/>
          <w:sz w:val="20"/>
          <w:szCs w:val="20"/>
          <w:lang w:val="en-US"/>
        </w:rPr>
        <w:t>proceed</w:t>
      </w:r>
      <w:r w:rsidRPr="654048B6" w:rsidR="32F29D9B">
        <w:rPr>
          <w:rFonts w:ascii="Aptos" w:hAnsi="Aptos" w:eastAsia="Aptos" w:cs="Aptos"/>
          <w:noProof w:val="0"/>
          <w:color w:val="000000" w:themeColor="text1" w:themeTint="FF" w:themeShade="FF"/>
          <w:sz w:val="20"/>
          <w:szCs w:val="20"/>
          <w:lang w:val="en-US"/>
        </w:rPr>
        <w:t xml:space="preserve"> to analyst review for confirmation, while low-confidence or ambiguous findings are explicitly routed for mandatory human validation. This structure allows the system to reduce manual workload while preserving analyst authority over final assessment </w:t>
      </w:r>
      <w:r w:rsidRPr="654048B6" w:rsidR="32F29D9B">
        <w:rPr>
          <w:rFonts w:ascii="Aptos" w:hAnsi="Aptos" w:eastAsia="Aptos" w:cs="Aptos"/>
          <w:noProof w:val="0"/>
          <w:color w:val="000000" w:themeColor="text1" w:themeTint="FF" w:themeShade="FF"/>
          <w:sz w:val="20"/>
          <w:szCs w:val="20"/>
          <w:lang w:val="en-US"/>
        </w:rPr>
        <w:t>decisions, and</w:t>
      </w:r>
      <w:r w:rsidRPr="654048B6" w:rsidR="32F29D9B">
        <w:rPr>
          <w:rFonts w:ascii="Aptos" w:hAnsi="Aptos" w:eastAsia="Aptos" w:cs="Aptos"/>
          <w:noProof w:val="0"/>
          <w:color w:val="000000" w:themeColor="text1" w:themeTint="FF" w:themeShade="FF"/>
          <w:sz w:val="20"/>
          <w:szCs w:val="20"/>
          <w:lang w:val="en-US"/>
        </w:rPr>
        <w:t xml:space="preserve"> improves auditability by ensuring that every maturity score can be traced back to </w:t>
      </w:r>
      <w:r w:rsidRPr="654048B6" w:rsidR="32F29D9B">
        <w:rPr>
          <w:rFonts w:ascii="Aptos" w:hAnsi="Aptos" w:eastAsia="Aptos" w:cs="Aptos"/>
          <w:noProof w:val="0"/>
          <w:color w:val="000000" w:themeColor="text1" w:themeTint="FF" w:themeShade="FF"/>
          <w:sz w:val="20"/>
          <w:szCs w:val="20"/>
          <w:lang w:val="en-US"/>
        </w:rPr>
        <w:t>submitted</w:t>
      </w:r>
      <w:r w:rsidRPr="654048B6" w:rsidR="32F29D9B">
        <w:rPr>
          <w:rFonts w:ascii="Aptos" w:hAnsi="Aptos" w:eastAsia="Aptos" w:cs="Aptos"/>
          <w:noProof w:val="0"/>
          <w:color w:val="000000" w:themeColor="text1" w:themeTint="FF" w:themeShade="FF"/>
          <w:sz w:val="20"/>
          <w:szCs w:val="20"/>
          <w:lang w:val="en-US"/>
        </w:rPr>
        <w:t xml:space="preserve"> organizational evidence and reviewed before inclusion in the final report.</w:t>
      </w:r>
    </w:p>
    <w:p xmlns:wp14="http://schemas.microsoft.com/office/word/2010/wordml" w:rsidRDefault="00000000" w14:paraId="00000027" wp14:textId="77777777">
      <w:pPr>
        <w:pStyle w:val="Heading1"/>
        <w:rPr/>
      </w:pPr>
      <w:r w:rsidR="1AC55103">
        <w:rPr/>
        <w:t>Gap</w:t>
      </w:r>
      <w:r w:rsidR="1AC55103">
        <w:rPr/>
        <w:t xml:space="preserve"> Analysis</w:t>
      </w:r>
    </w:p>
    <w:p w:rsidR="4F2563DC" w:rsidP="11C5856B" w:rsidRDefault="4F2563DC" w14:paraId="73E89675" w14:textId="427F4892">
      <w:pPr>
        <w:jc w:val="both"/>
      </w:pPr>
      <w:r w:rsidRPr="654048B6" w:rsidR="455BDFB9">
        <w:rPr>
          <w:rFonts w:ascii="Aptos" w:hAnsi="Aptos" w:eastAsia="Aptos" w:cs="Aptos"/>
          <w:noProof w:val="0"/>
          <w:color w:val="000000" w:themeColor="text1" w:themeTint="FF" w:themeShade="FF"/>
          <w:sz w:val="20"/>
          <w:szCs w:val="20"/>
          <w:lang w:val="en-US"/>
        </w:rPr>
        <w:t>The literature collectively surfaces three gaps that directly motivate the design and development of GRC-LLM, the large language model based maturity assessment system introduced in this paper that takes an organization's security policy as input and produces a maturity score, evidence, identified gaps, and remediation recommendations against multiple security frameworks simultaneously.</w:t>
      </w:r>
    </w:p>
    <w:p w:rsidR="4F2563DC" w:rsidP="6F0FB94D" w:rsidRDefault="4F2563DC" w14:paraId="6B5B2D16" w14:textId="498F51DD">
      <w:pPr>
        <w:pStyle w:val="Normal"/>
        <w:jc w:val="both"/>
      </w:pPr>
      <w:r w:rsidRPr="6F0FB94D" w:rsidR="6F246CC0">
        <w:rPr>
          <w:rFonts w:ascii="Aptos" w:hAnsi="Aptos" w:eastAsia="Aptos" w:cs="Aptos"/>
          <w:noProof w:val="0"/>
          <w:color w:val="000000" w:themeColor="text1" w:themeTint="FF" w:themeShade="FF"/>
          <w:sz w:val="20"/>
          <w:szCs w:val="20"/>
          <w:lang w:val="en-US"/>
        </w:rPr>
        <w:t xml:space="preserve">First, the reviewed literature did not </w:t>
      </w:r>
      <w:r w:rsidRPr="6F0FB94D" w:rsidR="6F246CC0">
        <w:rPr>
          <w:rFonts w:ascii="Aptos" w:hAnsi="Aptos" w:eastAsia="Aptos" w:cs="Aptos"/>
          <w:noProof w:val="0"/>
          <w:color w:val="000000" w:themeColor="text1" w:themeTint="FF" w:themeShade="FF"/>
          <w:sz w:val="20"/>
          <w:szCs w:val="20"/>
          <w:lang w:val="en-US"/>
        </w:rPr>
        <w:t>identify</w:t>
      </w:r>
      <w:r w:rsidRPr="6F0FB94D" w:rsidR="6F246CC0">
        <w:rPr>
          <w:rFonts w:ascii="Aptos" w:hAnsi="Aptos" w:eastAsia="Aptos" w:cs="Aptos"/>
          <w:noProof w:val="0"/>
          <w:color w:val="000000" w:themeColor="text1" w:themeTint="FF" w:themeShade="FF"/>
          <w:sz w:val="20"/>
          <w:szCs w:val="20"/>
          <w:lang w:val="en-US"/>
        </w:rPr>
        <w:t xml:space="preserve"> a single, empirically validated tool that applies one auditable workflow to a broad set of heterogeneous cybersecurity frameworks. </w:t>
      </w:r>
      <w:r w:rsidRPr="6F0FB94D" w:rsidR="249B787A">
        <w:rPr>
          <w:rFonts w:ascii="Aptos" w:hAnsi="Aptos" w:eastAsia="Aptos" w:cs="Aptos"/>
          <w:noProof w:val="0"/>
          <w:sz w:val="20"/>
          <w:szCs w:val="20"/>
          <w:lang w:val="en-US"/>
        </w:rPr>
        <w:t xml:space="preserve">In the present study, the prototype generated assessment outputs across nine cybersecurity framework configurations using two organizational policy documents and three base LLMs. However, the current experiment primarily evaluates model output quality, evidence alignment, and scoring behavior rather than expert-validated framework-mapping accuracy. Therefore, the nine-framework evaluation should be interpreted as an initial technical demonstration of multi-framework processing rather than complete empirical validation of every framework mapping. Further assessment by qualified cybersecurity and compliance professionals is required to determine whether the generated mappings accurately reflect the distinct evidentiary and interpretive requirements of each framework. </w:t>
      </w:r>
      <w:r w:rsidRPr="6F0FB94D" w:rsidR="455BDFB9">
        <w:rPr>
          <w:rFonts w:ascii="Aptos" w:hAnsi="Aptos" w:eastAsia="Aptos" w:cs="Aptos"/>
          <w:noProof w:val="0"/>
          <w:color w:val="000000" w:themeColor="text1" w:themeTint="FF" w:themeShade="FF"/>
          <w:sz w:val="20"/>
          <w:szCs w:val="20"/>
          <w:lang w:val="en-US"/>
        </w:rPr>
        <w:t xml:space="preserve">Part of what makes this technically difficult is that each framework uses different terminology, different control structures, and different ways of measuring compliance, so a unified tool must be able to map policy language against all of them consistently without requiring a separate hand-crafted ruleset for each one. Existing tools either target a single framework or require separate, fragmented assessments per standard, reflecting the regulatory and cybersecurity tensions </w:t>
      </w:r>
      <w:r w:rsidRPr="6F0FB94D" w:rsidR="455BDFB9">
        <w:rPr>
          <w:rFonts w:ascii="Aptos" w:hAnsi="Aptos" w:eastAsia="Aptos" w:cs="Aptos"/>
          <w:noProof w:val="0"/>
          <w:color w:val="000000" w:themeColor="text1" w:themeTint="FF" w:themeShade="FF"/>
          <w:sz w:val="20"/>
          <w:szCs w:val="20"/>
          <w:lang w:val="en-US"/>
        </w:rPr>
        <w:t>identified</w:t>
      </w:r>
      <w:r w:rsidRPr="6F0FB94D" w:rsidR="455BDFB9">
        <w:rPr>
          <w:rFonts w:ascii="Aptos" w:hAnsi="Aptos" w:eastAsia="Aptos" w:cs="Aptos"/>
          <w:noProof w:val="0"/>
          <w:color w:val="000000" w:themeColor="text1" w:themeTint="FF" w:themeShade="FF"/>
          <w:sz w:val="20"/>
          <w:szCs w:val="20"/>
          <w:lang w:val="en-US"/>
        </w:rPr>
        <w:t xml:space="preserve"> by Marotta and Madnick [6] in multi-regulated compliance environments. Whether a unified interface can be made </w:t>
      </w:r>
      <w:r w:rsidRPr="6F0FB94D" w:rsidR="455BDFB9">
        <w:rPr>
          <w:rFonts w:ascii="Aptos" w:hAnsi="Aptos" w:eastAsia="Aptos" w:cs="Aptos"/>
          <w:noProof w:val="0"/>
          <w:color w:val="000000" w:themeColor="text1" w:themeTint="FF" w:themeShade="FF"/>
          <w:sz w:val="20"/>
          <w:szCs w:val="20"/>
          <w:lang w:val="en-US"/>
        </w:rPr>
        <w:t>practically tractable</w:t>
      </w:r>
      <w:r w:rsidRPr="6F0FB94D" w:rsidR="455BDFB9">
        <w:rPr>
          <w:rFonts w:ascii="Aptos" w:hAnsi="Aptos" w:eastAsia="Aptos" w:cs="Aptos"/>
          <w:noProof w:val="0"/>
          <w:color w:val="000000" w:themeColor="text1" w:themeTint="FF" w:themeShade="FF"/>
          <w:sz w:val="20"/>
          <w:szCs w:val="20"/>
          <w:lang w:val="en-US"/>
        </w:rPr>
        <w:t xml:space="preserve">, in terms of framework coverage, scoring consistency, and output quality, </w:t>
      </w:r>
      <w:r w:rsidRPr="6F0FB94D" w:rsidR="455BDFB9">
        <w:rPr>
          <w:rFonts w:ascii="Aptos" w:hAnsi="Aptos" w:eastAsia="Aptos" w:cs="Aptos"/>
          <w:noProof w:val="0"/>
          <w:color w:val="000000" w:themeColor="text1" w:themeTint="FF" w:themeShade="FF"/>
          <w:sz w:val="20"/>
          <w:szCs w:val="20"/>
          <w:lang w:val="en-US"/>
        </w:rPr>
        <w:t>remains</w:t>
      </w:r>
      <w:r w:rsidRPr="6F0FB94D" w:rsidR="455BDFB9">
        <w:rPr>
          <w:rFonts w:ascii="Aptos" w:hAnsi="Aptos" w:eastAsia="Aptos" w:cs="Aptos"/>
          <w:noProof w:val="0"/>
          <w:color w:val="000000" w:themeColor="text1" w:themeTint="FF" w:themeShade="FF"/>
          <w:sz w:val="20"/>
          <w:szCs w:val="20"/>
          <w:lang w:val="en-US"/>
        </w:rPr>
        <w:t xml:space="preserve"> an open question that GRC-LLM is designed to explore.</w:t>
      </w:r>
    </w:p>
    <w:p w:rsidR="4F2563DC" w:rsidP="11C5856B" w:rsidRDefault="4F2563DC" w14:paraId="2C313605" w14:textId="74743681">
      <w:pPr>
        <w:jc w:val="both"/>
      </w:pPr>
      <w:r w:rsidRPr="0BB6A513" w:rsidR="455BDFB9">
        <w:rPr>
          <w:rFonts w:ascii="Aptos" w:hAnsi="Aptos" w:eastAsia="Aptos" w:cs="Aptos"/>
          <w:noProof w:val="0"/>
          <w:color w:val="000000" w:themeColor="text1" w:themeTint="FF" w:themeShade="FF"/>
          <w:sz w:val="20"/>
          <w:szCs w:val="20"/>
          <w:lang w:val="en-US"/>
        </w:rPr>
        <w:t xml:space="preserve">Second, current compliance automation tools predominantly rely on rule-based or keyword matching rather than semantic understanding, limiting their ability to recognize when organizational policies satisfy control requirements through alternative phrasing or non-standard implementation approaches. </w:t>
      </w:r>
      <w:r w:rsidRPr="0BB6A513" w:rsidR="455BDFB9">
        <w:rPr>
          <w:rFonts w:ascii="Aptos" w:hAnsi="Aptos" w:eastAsia="Aptos" w:cs="Aptos"/>
          <w:noProof w:val="0"/>
          <w:color w:val="000000" w:themeColor="text1" w:themeTint="FF" w:themeShade="FF"/>
          <w:sz w:val="20"/>
          <w:szCs w:val="20"/>
          <w:lang w:val="en-US"/>
        </w:rPr>
        <w:t>For example, a keyword-based tool searching for "access control" would fail to recognize that a clause describing "role-based permissions with least privilege enforcement" satisfies the same underlying requirement, whereas an LLM understands the semantic equivalence.</w:t>
      </w:r>
      <w:r w:rsidRPr="0BB6A513" w:rsidR="455BDFB9">
        <w:rPr>
          <w:rFonts w:ascii="Aptos" w:hAnsi="Aptos" w:eastAsia="Aptos" w:cs="Aptos"/>
          <w:noProof w:val="0"/>
          <w:color w:val="000000" w:themeColor="text1" w:themeTint="FF" w:themeShade="FF"/>
          <w:sz w:val="20"/>
          <w:szCs w:val="20"/>
          <w:lang w:val="en-US"/>
        </w:rPr>
        <w:t xml:space="preserve"> LLM based semantic matching offers a path forward here [9, 10], but empirical validation of this approach in the specific context of multi-framework maturity scoring against real organizational policy documents has not yet been established. GRC-LLM addresses this gap by using Claude to semantically evaluate each control against retrieved policy passages rather than matching on keywords.</w:t>
      </w:r>
    </w:p>
    <w:p w:rsidR="45AA67F8" w:rsidP="0BB6A513" w:rsidRDefault="45AA67F8" w14:paraId="07DD86CD" w14:textId="044D5B9A">
      <w:pPr>
        <w:jc w:val="both"/>
      </w:pPr>
      <w:r w:rsidRPr="0BB6A513" w:rsidR="45AA67F8">
        <w:rPr>
          <w:rFonts w:ascii="Aptos" w:hAnsi="Aptos" w:eastAsia="Aptos" w:cs="Aptos"/>
          <w:noProof w:val="0"/>
          <w:color w:val="000000" w:themeColor="text1" w:themeTint="FF" w:themeShade="FF"/>
          <w:sz w:val="20"/>
          <w:szCs w:val="20"/>
          <w:lang w:val="en-US"/>
        </w:rPr>
        <w:t xml:space="preserve">Third, no open-source tool currently implements control-family-weighted maturity scoring across multiple frameworks using a RAG grounded LLM evaluation pipeline with structured, auditable outputs and an embedded human review workflow [19]. </w:t>
      </w:r>
      <w:r w:rsidRPr="0BB6A513" w:rsidR="45AA67F8">
        <w:rPr>
          <w:rFonts w:ascii="Aptos" w:hAnsi="Aptos" w:eastAsia="Aptos" w:cs="Aptos"/>
          <w:noProof w:val="0"/>
          <w:color w:val="000000" w:themeColor="text1" w:themeTint="FF" w:themeShade="FF"/>
          <w:sz w:val="20"/>
          <w:szCs w:val="20"/>
          <w:lang w:val="en-US"/>
        </w:rPr>
        <w:t>Open source</w:t>
      </w:r>
      <w:r w:rsidRPr="0BB6A513" w:rsidR="45AA67F8">
        <w:rPr>
          <w:rFonts w:ascii="Aptos" w:hAnsi="Aptos" w:eastAsia="Aptos" w:cs="Aptos"/>
          <w:noProof w:val="0"/>
          <w:color w:val="000000" w:themeColor="text1" w:themeTint="FF" w:themeShade="FF"/>
          <w:sz w:val="20"/>
          <w:szCs w:val="20"/>
          <w:lang w:val="en-US"/>
        </w:rPr>
        <w:t xml:space="preserve"> matters here for three specific reasons: it allows other researchers and practitioners to inspect, audit, and validate the tool's assessment logic rather than treating it as a black box, it makes the tool accessible to smaller organizations that cannot afford expensive commercial GRC subscriptions, and it enables the research community to build on and extend the work. GRC-LLM is released under an MIT license, making it the first open-source tool to combine all three capabilities, multi-framework coverage, RAG grounded semantic assessment, and embedded human review, within a single auditable pipeline.</w:t>
      </w:r>
    </w:p>
    <w:p xmlns:wp14="http://schemas.microsoft.com/office/word/2010/wordml" w:rsidRDefault="00000000" w14:paraId="0000002C" wp14:textId="77777777">
      <w:pPr>
        <w:pStyle w:val="Heading1"/>
        <w:rPr>
          <w:rtl w:val="0"/>
        </w:rPr>
      </w:pPr>
      <w:bookmarkStart w:name="_heading=h.i88u2p5cqark" w:id="5"/>
      <w:bookmarkEnd w:id="5"/>
      <w:r w:rsidR="676A2F2F">
        <w:rPr/>
        <w:t>Methodology</w:t>
      </w:r>
    </w:p>
    <w:p xmlns:wp14="http://schemas.microsoft.com/office/word/2010/wordml" w:rsidRDefault="00000000" w14:paraId="0000002D" wp14:textId="5F56D08E">
      <w:pPr>
        <w:pStyle w:val="Heading2"/>
      </w:pPr>
      <w:r w:rsidR="1AC55103">
        <w:rPr/>
        <w:t xml:space="preserve">I.  Project </w:t>
      </w:r>
      <w:r w:rsidR="76CC5592">
        <w:rPr/>
        <w:t>O</w:t>
      </w:r>
      <w:r w:rsidR="1AC55103">
        <w:rPr/>
        <w:t>bjectives</w:t>
      </w:r>
    </w:p>
    <w:p xmlns:wp14="http://schemas.microsoft.com/office/word/2010/wordml" w:rsidP="11C5856B" w:rsidRDefault="00000000" w14:paraId="02C19F84" wp14:textId="0D8A633C">
      <w:pPr>
        <w:jc w:val="both"/>
      </w:pPr>
      <w:r w:rsidRPr="11C5856B" w:rsidR="383A8687">
        <w:rPr>
          <w:rFonts w:ascii="Aptos" w:hAnsi="Aptos" w:eastAsia="Aptos" w:cs="Aptos"/>
          <w:noProof w:val="0"/>
          <w:color w:val="000000" w:themeColor="text1" w:themeTint="FF" w:themeShade="FF"/>
          <w:sz w:val="20"/>
          <w:szCs w:val="20"/>
          <w:lang w:val="en-US"/>
        </w:rPr>
        <w:t>GRC-LLM serves three core objectives. First, maturity scoring: implementing a maturity scoring model based on a defined, transparent methodology that produces an overall posture score and per-domain subscores on a 0 to 5 scale, enabling organizations to identify and prioritize gaps across assessed frameworks. Second, human-validated output: ensuring all automated outputs are reviewed and attested by a qualified analyst before being presented as findings, mitigating risks of hallucination, misclassification, and false positives inherent to LLM generated assessments. Third, practical demonstration: delivering a working proof of concept with documented findings and ratified performance metrics, with supporting documentation sufficient for evaluating applicability within real organizational contexts.</w:t>
      </w:r>
    </w:p>
    <w:p xmlns:wp14="http://schemas.microsoft.com/office/word/2010/wordml" w:rsidP="4C15D6E0" w:rsidRDefault="00000000" w14:paraId="07FB9269" wp14:textId="7C478193">
      <w:pPr>
        <w:jc w:val="both"/>
        <w:rPr>
          <w:rFonts w:ascii="Aptos" w:hAnsi="Aptos" w:eastAsia="Aptos" w:cs="Aptos"/>
          <w:noProof w:val="0"/>
          <w:color w:val="000000" w:themeColor="text1" w:themeTint="FF" w:themeShade="FF"/>
          <w:sz w:val="20"/>
          <w:szCs w:val="20"/>
          <w:lang w:val="en"/>
        </w:rPr>
      </w:pPr>
      <w:r w:rsidRPr="4A7CC396" w:rsidR="79559A5C">
        <w:rPr>
          <w:rFonts w:ascii="Aptos" w:hAnsi="Aptos" w:eastAsia="Aptos" w:cs="Aptos"/>
          <w:noProof w:val="0"/>
          <w:color w:val="000000" w:themeColor="text1" w:themeTint="FF" w:themeShade="FF"/>
          <w:sz w:val="20"/>
          <w:szCs w:val="20"/>
          <w:lang w:val="en"/>
        </w:rPr>
        <w:t xml:space="preserve">Rather than replacing expertise, GRC-LLM is designed to help organizations make more informed decisions by providing a structured, reproducible starting point for maturity assessments that a human analyst can verify and build upon, prioritizing remediation activities by identifying the highest-impact gaps relative to each organization's applicable frameworks, reducing the time required for initial document review and freeing analyst time for the operational validation activities that documentation analysis cannot capture, and supporting regulatory compliance preparation by surfacing specific control gaps with document-level evidence. </w:t>
      </w:r>
    </w:p>
    <w:p xmlns:wp14="http://schemas.microsoft.com/office/word/2010/wordml" w:rsidP="4A7CC396" w:rsidRDefault="00000000" w14:paraId="21465684" wp14:textId="60412D87">
      <w:pPr>
        <w:jc w:val="both"/>
      </w:pPr>
      <w:r w:rsidRPr="4A7CC396" w:rsidR="4559CCAF">
        <w:rPr>
          <w:rFonts w:ascii="Aptos" w:hAnsi="Aptos" w:eastAsia="Aptos" w:cs="Aptos"/>
          <w:noProof w:val="0"/>
          <w:color w:val="000000" w:themeColor="text1" w:themeTint="FF" w:themeShade="FF"/>
          <w:sz w:val="20"/>
          <w:szCs w:val="20"/>
          <w:lang w:val="en"/>
        </w:rPr>
        <w:t xml:space="preserve">As shown in the example output from the CISO Certificate Program demonstration, the system assessed a real organizational security policy against the FTC Safeguards Rule and produced control-level findings including rationale, evidence, gaps, and recommendations, all traceable back to the submitted document. Table </w:t>
      </w:r>
      <w:r w:rsidRPr="4A7CC396" w:rsidR="5482DF13">
        <w:rPr>
          <w:rFonts w:ascii="Aptos" w:hAnsi="Aptos" w:eastAsia="Aptos" w:cs="Aptos"/>
          <w:noProof w:val="0"/>
          <w:color w:val="000000" w:themeColor="text1" w:themeTint="FF" w:themeShade="FF"/>
          <w:sz w:val="20"/>
          <w:szCs w:val="20"/>
          <w:lang w:val="en"/>
        </w:rPr>
        <w:t>1</w:t>
      </w:r>
      <w:r w:rsidRPr="4A7CC396" w:rsidR="4559CCAF">
        <w:rPr>
          <w:rFonts w:ascii="Aptos" w:hAnsi="Aptos" w:eastAsia="Aptos" w:cs="Aptos"/>
          <w:noProof w:val="0"/>
          <w:color w:val="000000" w:themeColor="text1" w:themeTint="FF" w:themeShade="FF"/>
          <w:sz w:val="20"/>
          <w:szCs w:val="20"/>
          <w:lang w:val="en"/>
        </w:rPr>
        <w:t xml:space="preserve"> presents the executive summary output at the framework level, and Table </w:t>
      </w:r>
      <w:r w:rsidRPr="4A7CC396" w:rsidR="720B0E61">
        <w:rPr>
          <w:rFonts w:ascii="Aptos" w:hAnsi="Aptos" w:eastAsia="Aptos" w:cs="Aptos"/>
          <w:noProof w:val="0"/>
          <w:color w:val="000000" w:themeColor="text1" w:themeTint="FF" w:themeShade="FF"/>
          <w:sz w:val="20"/>
          <w:szCs w:val="20"/>
          <w:lang w:val="en"/>
        </w:rPr>
        <w:t>2</w:t>
      </w:r>
      <w:r w:rsidRPr="4A7CC396" w:rsidR="4559CCAF">
        <w:rPr>
          <w:rFonts w:ascii="Aptos" w:hAnsi="Aptos" w:eastAsia="Aptos" w:cs="Aptos"/>
          <w:noProof w:val="0"/>
          <w:color w:val="000000" w:themeColor="text1" w:themeTint="FF" w:themeShade="FF"/>
          <w:sz w:val="20"/>
          <w:szCs w:val="20"/>
          <w:lang w:val="en"/>
        </w:rPr>
        <w:t xml:space="preserve"> presents the corresponding family-level score breakdown. This example illustrates how GRC-LLM's output moves from a single overall posture score down to family-level detail, here showing Safeguards Implementation as the largest assessed control family at a Developing maturity level and Vendor Oversight as the weakest at Initial, giving analysts a concrete starting point for prioritizing remediation.</w:t>
      </w:r>
    </w:p>
    <w:p xmlns:wp14="http://schemas.microsoft.com/office/word/2010/wordml" w:rsidP="4A7CC396" w:rsidRDefault="00000000" w14:paraId="2691B46D" wp14:textId="7C4D013B">
      <w:pPr>
        <w:jc w:val="both"/>
        <w:rPr>
          <w:rFonts w:ascii="Aptos" w:hAnsi="Aptos" w:eastAsia="Aptos" w:cs="Aptos"/>
          <w:noProof w:val="0"/>
          <w:color w:val="000000" w:themeColor="text1" w:themeTint="FF" w:themeShade="FF"/>
          <w:sz w:val="20"/>
          <w:szCs w:val="20"/>
          <w:lang w:val="en"/>
        </w:rPr>
      </w:pPr>
    </w:p>
    <w:p xmlns:wp14="http://schemas.microsoft.com/office/word/2010/wordml" w:rsidP="4A7CC396" w:rsidRDefault="00000000" w14:paraId="114CD3B3" wp14:textId="76C4F8C1">
      <w:pPr>
        <w:pStyle w:val="Normal"/>
        <w:jc w:val="both"/>
      </w:pPr>
      <w:r w:rsidRPr="4A7CC396" w:rsidR="52875B2B">
        <w:rPr>
          <w:rFonts w:ascii="Aptos" w:hAnsi="Aptos" w:eastAsia="Aptos" w:cs="Aptos"/>
          <w:noProof w:val="0"/>
          <w:color w:val="000000" w:themeColor="text1" w:themeTint="FF" w:themeShade="FF"/>
          <w:sz w:val="20"/>
          <w:szCs w:val="20"/>
          <w:lang w:val="en"/>
        </w:rPr>
        <w:t xml:space="preserve">Table </w:t>
      </w:r>
      <w:r w:rsidRPr="4A7CC396" w:rsidR="30DDFCB4">
        <w:rPr>
          <w:rFonts w:ascii="Aptos" w:hAnsi="Aptos" w:eastAsia="Aptos" w:cs="Aptos"/>
          <w:noProof w:val="0"/>
          <w:color w:val="000000" w:themeColor="text1" w:themeTint="FF" w:themeShade="FF"/>
          <w:sz w:val="20"/>
          <w:szCs w:val="20"/>
          <w:lang w:val="en"/>
        </w:rPr>
        <w:t>1</w:t>
      </w:r>
      <w:r w:rsidRPr="4A7CC396" w:rsidR="52875B2B">
        <w:rPr>
          <w:rFonts w:ascii="Aptos" w:hAnsi="Aptos" w:eastAsia="Aptos" w:cs="Aptos"/>
          <w:noProof w:val="0"/>
          <w:color w:val="000000" w:themeColor="text1" w:themeTint="FF" w:themeShade="FF"/>
          <w:sz w:val="20"/>
          <w:szCs w:val="20"/>
          <w:lang w:val="en"/>
        </w:rPr>
        <w:t>. Example Executive Summary Output (FTC Safeguards Rule, Scott &amp; Scott WISP)</w:t>
      </w:r>
    </w:p>
    <w:tbl>
      <w:tblPr>
        <w:tblStyle w:val="TableGrid"/>
        <w:tblW w:w="0" w:type="auto"/>
        <w:tblLook w:val="06A0" w:firstRow="1" w:lastRow="0" w:firstColumn="1" w:lastColumn="0" w:noHBand="1" w:noVBand="1"/>
      </w:tblPr>
      <w:tblGrid>
        <w:gridCol w:w="960"/>
        <w:gridCol w:w="810"/>
        <w:gridCol w:w="990"/>
        <w:gridCol w:w="1104"/>
        <w:gridCol w:w="801"/>
      </w:tblGrid>
      <w:tr w:rsidR="4A7CC396" w:rsidTr="4A7CC396" w14:paraId="6A37AFBF">
        <w:trPr>
          <w:trHeight w:val="300"/>
        </w:trPr>
        <w:tc>
          <w:tcPr>
            <w:tcW w:w="960" w:type="dxa"/>
            <w:tcMar/>
          </w:tcPr>
          <w:p w:rsidR="4A7CC396" w:rsidP="4A7CC396" w:rsidRDefault="4A7CC396" w14:paraId="5D7307BE" w14:textId="15CDE6A5">
            <w:pPr>
              <w:spacing w:before="0" w:beforeAutospacing="off" w:after="0" w:afterAutospacing="off"/>
              <w:jc w:val="center"/>
            </w:pPr>
            <w:r w:rsidRPr="4A7CC396" w:rsidR="4A7CC396">
              <w:rPr>
                <w:b w:val="1"/>
                <w:bCs w:val="1"/>
              </w:rPr>
              <w:t>Framework</w:t>
            </w:r>
          </w:p>
        </w:tc>
        <w:tc>
          <w:tcPr>
            <w:tcW w:w="810" w:type="dxa"/>
            <w:tcMar/>
          </w:tcPr>
          <w:p w:rsidR="4A7CC396" w:rsidP="4A7CC396" w:rsidRDefault="4A7CC396" w14:paraId="41EFFEB4" w14:textId="191595DD">
            <w:pPr>
              <w:spacing w:before="0" w:beforeAutospacing="off" w:after="0" w:afterAutospacing="off"/>
              <w:jc w:val="center"/>
            </w:pPr>
            <w:r w:rsidRPr="4A7CC396" w:rsidR="4A7CC396">
              <w:rPr>
                <w:b w:val="1"/>
                <w:bCs w:val="1"/>
              </w:rPr>
              <w:t>Score</w:t>
            </w:r>
          </w:p>
        </w:tc>
        <w:tc>
          <w:tcPr>
            <w:tcW w:w="990" w:type="dxa"/>
            <w:tcMar/>
          </w:tcPr>
          <w:p w:rsidR="4A7CC396" w:rsidP="4A7CC396" w:rsidRDefault="4A7CC396" w14:paraId="7A421103" w14:textId="606C4665">
            <w:pPr>
              <w:spacing w:before="0" w:beforeAutospacing="off" w:after="0" w:afterAutospacing="off"/>
              <w:jc w:val="center"/>
            </w:pPr>
            <w:r w:rsidRPr="4A7CC396" w:rsidR="4A7CC396">
              <w:rPr>
                <w:b w:val="1"/>
                <w:bCs w:val="1"/>
              </w:rPr>
              <w:t>Maturity Level</w:t>
            </w:r>
          </w:p>
        </w:tc>
        <w:tc>
          <w:tcPr>
            <w:tcW w:w="1104" w:type="dxa"/>
            <w:tcMar/>
          </w:tcPr>
          <w:p w:rsidR="4A7CC396" w:rsidP="4A7CC396" w:rsidRDefault="4A7CC396" w14:paraId="733B02FB" w14:textId="27305798">
            <w:pPr>
              <w:spacing w:before="0" w:beforeAutospacing="off" w:after="0" w:afterAutospacing="off"/>
              <w:jc w:val="center"/>
            </w:pPr>
            <w:r w:rsidRPr="4A7CC396" w:rsidR="4A7CC396">
              <w:rPr>
                <w:b w:val="1"/>
                <w:bCs w:val="1"/>
              </w:rPr>
              <w:t>Controls Assessed</w:t>
            </w:r>
          </w:p>
        </w:tc>
        <w:tc>
          <w:tcPr>
            <w:tcW w:w="801" w:type="dxa"/>
            <w:tcMar/>
          </w:tcPr>
          <w:p w:rsidR="4A7CC396" w:rsidP="4A7CC396" w:rsidRDefault="4A7CC396" w14:paraId="4CFBF718" w14:textId="74F7F64A">
            <w:pPr>
              <w:spacing w:before="0" w:beforeAutospacing="off" w:after="0" w:afterAutospacing="off"/>
              <w:jc w:val="center"/>
            </w:pPr>
            <w:r w:rsidRPr="4A7CC396" w:rsidR="4A7CC396">
              <w:rPr>
                <w:b w:val="1"/>
                <w:bCs w:val="1"/>
              </w:rPr>
              <w:t>Failed</w:t>
            </w:r>
          </w:p>
        </w:tc>
      </w:tr>
      <w:tr w:rsidR="4A7CC396" w:rsidTr="4A7CC396" w14:paraId="1C095E0C">
        <w:trPr>
          <w:trHeight w:val="300"/>
        </w:trPr>
        <w:tc>
          <w:tcPr>
            <w:tcW w:w="960" w:type="dxa"/>
            <w:tcMar/>
          </w:tcPr>
          <w:p w:rsidR="4A7CC396" w:rsidP="4A7CC396" w:rsidRDefault="4A7CC396" w14:paraId="39723FB4" w14:textId="42ED602F">
            <w:pPr>
              <w:spacing w:before="0" w:beforeAutospacing="off" w:after="0" w:afterAutospacing="off"/>
            </w:pPr>
            <w:r w:rsidR="4A7CC396">
              <w:rPr/>
              <w:t>FTC Safeguards Rule</w:t>
            </w:r>
          </w:p>
        </w:tc>
        <w:tc>
          <w:tcPr>
            <w:tcW w:w="810" w:type="dxa"/>
            <w:tcMar/>
          </w:tcPr>
          <w:p w:rsidR="4A7CC396" w:rsidP="4A7CC396" w:rsidRDefault="4A7CC396" w14:paraId="370B4D91" w14:textId="1DA2B6EA">
            <w:pPr>
              <w:spacing w:before="0" w:beforeAutospacing="off" w:after="0" w:afterAutospacing="off"/>
            </w:pPr>
            <w:r w:rsidR="4A7CC396">
              <w:rPr/>
              <w:t>2.27</w:t>
            </w:r>
          </w:p>
        </w:tc>
        <w:tc>
          <w:tcPr>
            <w:tcW w:w="990" w:type="dxa"/>
            <w:tcMar/>
          </w:tcPr>
          <w:p w:rsidR="4A7CC396" w:rsidP="4A7CC396" w:rsidRDefault="4A7CC396" w14:paraId="2DF134E2" w14:textId="0B7EA8E6">
            <w:pPr>
              <w:spacing w:before="0" w:beforeAutospacing="off" w:after="0" w:afterAutospacing="off"/>
            </w:pPr>
            <w:r w:rsidR="4A7CC396">
              <w:rPr/>
              <w:t>Developing</w:t>
            </w:r>
          </w:p>
        </w:tc>
        <w:tc>
          <w:tcPr>
            <w:tcW w:w="1104" w:type="dxa"/>
            <w:tcMar/>
          </w:tcPr>
          <w:p w:rsidR="4A7CC396" w:rsidP="4A7CC396" w:rsidRDefault="4A7CC396" w14:paraId="56B43BA5" w14:textId="1F07F8F7">
            <w:pPr>
              <w:spacing w:before="0" w:beforeAutospacing="off" w:after="0" w:afterAutospacing="off"/>
            </w:pPr>
            <w:r w:rsidR="4A7CC396">
              <w:rPr/>
              <w:t>16</w:t>
            </w:r>
          </w:p>
        </w:tc>
        <w:tc>
          <w:tcPr>
            <w:tcW w:w="801" w:type="dxa"/>
            <w:tcMar/>
          </w:tcPr>
          <w:p w:rsidR="4A7CC396" w:rsidP="4A7CC396" w:rsidRDefault="4A7CC396" w14:paraId="7DE0D852" w14:textId="5F277EDF">
            <w:pPr>
              <w:spacing w:before="0" w:beforeAutospacing="off" w:after="0" w:afterAutospacing="off"/>
            </w:pPr>
            <w:r w:rsidR="4A7CC396">
              <w:rPr/>
              <w:t>—</w:t>
            </w:r>
          </w:p>
        </w:tc>
      </w:tr>
    </w:tbl>
    <w:p xmlns:wp14="http://schemas.microsoft.com/office/word/2010/wordml" w:rsidP="4A7CC396" w:rsidRDefault="00000000" w14:paraId="208869AD" wp14:textId="4581FEB3">
      <w:pPr>
        <w:pStyle w:val="Normal"/>
        <w:suppressLineNumbers w:val="0"/>
        <w:bidi w:val="0"/>
        <w:spacing w:before="0" w:beforeAutospacing="off" w:after="0" w:afterAutospacing="off" w:line="259" w:lineRule="auto"/>
        <w:ind w:left="0" w:right="0"/>
        <w:jc w:val="both"/>
        <w:rPr>
          <w:rFonts w:ascii="Aptos" w:hAnsi="Aptos" w:eastAsia="Aptos" w:cs="Aptos"/>
          <w:noProof w:val="0"/>
          <w:color w:val="000000" w:themeColor="text1" w:themeTint="FF" w:themeShade="FF"/>
          <w:sz w:val="20"/>
          <w:szCs w:val="20"/>
          <w:lang w:val="en"/>
        </w:rPr>
      </w:pPr>
    </w:p>
    <w:p xmlns:wp14="http://schemas.microsoft.com/office/word/2010/wordml" w:rsidP="4A7CC396" w:rsidRDefault="00000000" w14:paraId="2C0ADF2C" wp14:textId="48499E80">
      <w:pPr>
        <w:pStyle w:val="Normal"/>
        <w:bidi w:val="0"/>
        <w:spacing w:before="0" w:beforeAutospacing="off" w:after="0" w:afterAutospacing="off" w:line="259" w:lineRule="auto"/>
        <w:ind w:left="0" w:right="0"/>
        <w:jc w:val="both"/>
      </w:pPr>
      <w:r w:rsidRPr="4A7CC396" w:rsidR="332A1BC2">
        <w:rPr>
          <w:rFonts w:ascii="Aptos" w:hAnsi="Aptos" w:eastAsia="Aptos" w:cs="Aptos"/>
          <w:noProof w:val="0"/>
          <w:color w:val="000000" w:themeColor="text1" w:themeTint="FF" w:themeShade="FF"/>
          <w:sz w:val="20"/>
          <w:szCs w:val="20"/>
          <w:lang w:val="en"/>
        </w:rPr>
        <w:t xml:space="preserve">Table </w:t>
      </w:r>
      <w:r w:rsidRPr="4A7CC396" w:rsidR="280890D0">
        <w:rPr>
          <w:rFonts w:ascii="Aptos" w:hAnsi="Aptos" w:eastAsia="Aptos" w:cs="Aptos"/>
          <w:noProof w:val="0"/>
          <w:color w:val="000000" w:themeColor="text1" w:themeTint="FF" w:themeShade="FF"/>
          <w:sz w:val="20"/>
          <w:szCs w:val="20"/>
          <w:lang w:val="en"/>
        </w:rPr>
        <w:t>2</w:t>
      </w:r>
      <w:r w:rsidRPr="4A7CC396" w:rsidR="332A1BC2">
        <w:rPr>
          <w:rFonts w:ascii="Aptos" w:hAnsi="Aptos" w:eastAsia="Aptos" w:cs="Aptos"/>
          <w:noProof w:val="0"/>
          <w:color w:val="000000" w:themeColor="text1" w:themeTint="FF" w:themeShade="FF"/>
          <w:sz w:val="20"/>
          <w:szCs w:val="20"/>
          <w:lang w:val="en"/>
        </w:rPr>
        <w:t>. Example Family-Level Score Breakdown (FTC Safeguards Rule)</w:t>
      </w:r>
    </w:p>
    <w:tbl>
      <w:tblPr>
        <w:tblStyle w:val="TableGrid"/>
        <w:bidiVisual w:val="0"/>
        <w:tblW w:w="0" w:type="auto"/>
        <w:tblLook w:val="06A0" w:firstRow="1" w:lastRow="0" w:firstColumn="1" w:lastColumn="0" w:noHBand="1" w:noVBand="1"/>
      </w:tblPr>
      <w:tblGrid>
        <w:gridCol w:w="1290"/>
        <w:gridCol w:w="1020"/>
        <w:gridCol w:w="1058"/>
        <w:gridCol w:w="1298"/>
      </w:tblGrid>
      <w:tr w:rsidR="4A7CC396" w:rsidTr="4A7CC396" w14:paraId="403F560D">
        <w:trPr>
          <w:trHeight w:val="300"/>
        </w:trPr>
        <w:tc>
          <w:tcPr>
            <w:tcW w:w="1290" w:type="dxa"/>
            <w:tcMar/>
          </w:tcPr>
          <w:p w:rsidR="4A7CC396" w:rsidP="4A7CC396" w:rsidRDefault="4A7CC396" w14:paraId="26F93F66" w14:textId="271A1AA6">
            <w:pPr>
              <w:bidi w:val="0"/>
              <w:spacing w:before="0" w:beforeAutospacing="off" w:after="0" w:afterAutospacing="off"/>
              <w:jc w:val="center"/>
            </w:pPr>
            <w:r w:rsidRPr="4A7CC396" w:rsidR="4A7CC396">
              <w:rPr>
                <w:b w:val="1"/>
                <w:bCs w:val="1"/>
                <w:color w:val="000000" w:themeColor="text1" w:themeTint="FF" w:themeShade="FF"/>
              </w:rPr>
              <w:t>Family</w:t>
            </w:r>
          </w:p>
        </w:tc>
        <w:tc>
          <w:tcPr>
            <w:tcW w:w="1020" w:type="dxa"/>
            <w:tcMar/>
          </w:tcPr>
          <w:p w:rsidR="4A7CC396" w:rsidP="4A7CC396" w:rsidRDefault="4A7CC396" w14:paraId="5686C2BF" w14:textId="7AF0933C">
            <w:pPr>
              <w:bidi w:val="0"/>
              <w:spacing w:before="0" w:beforeAutospacing="off" w:after="0" w:afterAutospacing="off"/>
              <w:jc w:val="center"/>
            </w:pPr>
            <w:r w:rsidRPr="4A7CC396" w:rsidR="4A7CC396">
              <w:rPr>
                <w:b w:val="1"/>
                <w:bCs w:val="1"/>
                <w:color w:val="000000" w:themeColor="text1" w:themeTint="FF" w:themeShade="FF"/>
              </w:rPr>
              <w:t>Controls</w:t>
            </w:r>
          </w:p>
        </w:tc>
        <w:tc>
          <w:tcPr>
            <w:tcW w:w="1058" w:type="dxa"/>
            <w:tcMar/>
          </w:tcPr>
          <w:p w:rsidR="4A7CC396" w:rsidP="4A7CC396" w:rsidRDefault="4A7CC396" w14:paraId="50FE08E7" w14:textId="6F2139C4">
            <w:pPr>
              <w:bidi w:val="0"/>
              <w:spacing w:before="0" w:beforeAutospacing="off" w:after="0" w:afterAutospacing="off"/>
              <w:jc w:val="center"/>
            </w:pPr>
            <w:r w:rsidRPr="4A7CC396" w:rsidR="4A7CC396">
              <w:rPr>
                <w:b w:val="1"/>
                <w:bCs w:val="1"/>
                <w:color w:val="000000" w:themeColor="text1" w:themeTint="FF" w:themeShade="FF"/>
              </w:rPr>
              <w:t>Score</w:t>
            </w:r>
          </w:p>
        </w:tc>
        <w:tc>
          <w:tcPr>
            <w:tcW w:w="1298" w:type="dxa"/>
            <w:tcMar/>
          </w:tcPr>
          <w:p w:rsidR="4A7CC396" w:rsidP="4A7CC396" w:rsidRDefault="4A7CC396" w14:paraId="655E461A" w14:textId="26B87CB7">
            <w:pPr>
              <w:bidi w:val="0"/>
              <w:spacing w:before="0" w:beforeAutospacing="off" w:after="0" w:afterAutospacing="off"/>
              <w:jc w:val="center"/>
            </w:pPr>
            <w:r w:rsidRPr="4A7CC396" w:rsidR="4A7CC396">
              <w:rPr>
                <w:b w:val="1"/>
                <w:bCs w:val="1"/>
                <w:color w:val="000000" w:themeColor="text1" w:themeTint="FF" w:themeShade="FF"/>
              </w:rPr>
              <w:t>Maturity Level</w:t>
            </w:r>
          </w:p>
        </w:tc>
      </w:tr>
      <w:tr w:rsidR="4A7CC396" w:rsidTr="4A7CC396" w14:paraId="50929EA0">
        <w:trPr>
          <w:trHeight w:val="300"/>
        </w:trPr>
        <w:tc>
          <w:tcPr>
            <w:tcW w:w="1290" w:type="dxa"/>
            <w:tcMar/>
          </w:tcPr>
          <w:p w:rsidR="4A7CC396" w:rsidP="4A7CC396" w:rsidRDefault="4A7CC396" w14:paraId="55A50456" w14:textId="1A65F4C7">
            <w:pPr>
              <w:bidi w:val="0"/>
              <w:spacing w:before="0" w:beforeAutospacing="off" w:after="0" w:afterAutospacing="off"/>
            </w:pPr>
            <w:r w:rsidRPr="4A7CC396" w:rsidR="4A7CC396">
              <w:rPr>
                <w:color w:val="000000" w:themeColor="text1" w:themeTint="FF" w:themeShade="FF"/>
              </w:rPr>
              <w:t>Information Security Program</w:t>
            </w:r>
          </w:p>
        </w:tc>
        <w:tc>
          <w:tcPr>
            <w:tcW w:w="1020" w:type="dxa"/>
            <w:tcMar/>
          </w:tcPr>
          <w:p w:rsidR="4A7CC396" w:rsidP="4A7CC396" w:rsidRDefault="4A7CC396" w14:paraId="1D897EB9" w14:textId="19BE8A2F">
            <w:pPr>
              <w:bidi w:val="0"/>
              <w:spacing w:before="0" w:beforeAutospacing="off" w:after="0" w:afterAutospacing="off"/>
            </w:pPr>
            <w:r w:rsidRPr="4A7CC396" w:rsidR="4A7CC396">
              <w:rPr>
                <w:color w:val="000000" w:themeColor="text1" w:themeTint="FF" w:themeShade="FF"/>
              </w:rPr>
              <w:t>4</w:t>
            </w:r>
          </w:p>
        </w:tc>
        <w:tc>
          <w:tcPr>
            <w:tcW w:w="1058" w:type="dxa"/>
            <w:tcMar/>
          </w:tcPr>
          <w:p w:rsidR="4A7CC396" w:rsidP="4A7CC396" w:rsidRDefault="4A7CC396" w14:paraId="1F3FDEEB" w14:textId="1341B354">
            <w:pPr>
              <w:bidi w:val="0"/>
              <w:spacing w:before="0" w:beforeAutospacing="off" w:after="0" w:afterAutospacing="off"/>
            </w:pPr>
            <w:r w:rsidRPr="4A7CC396" w:rsidR="4A7CC396">
              <w:rPr>
                <w:color w:val="000000" w:themeColor="text1" w:themeTint="FF" w:themeShade="FF"/>
              </w:rPr>
              <w:t>2.77</w:t>
            </w:r>
          </w:p>
        </w:tc>
        <w:tc>
          <w:tcPr>
            <w:tcW w:w="1298" w:type="dxa"/>
            <w:tcMar/>
          </w:tcPr>
          <w:p w:rsidR="4A7CC396" w:rsidP="4A7CC396" w:rsidRDefault="4A7CC396" w14:paraId="72638894" w14:textId="7C0E3909">
            <w:pPr>
              <w:bidi w:val="0"/>
              <w:spacing w:before="0" w:beforeAutospacing="off" w:after="0" w:afterAutospacing="off"/>
            </w:pPr>
            <w:r w:rsidRPr="4A7CC396" w:rsidR="4A7CC396">
              <w:rPr>
                <w:color w:val="000000" w:themeColor="text1" w:themeTint="FF" w:themeShade="FF"/>
              </w:rPr>
              <w:t>Defined</w:t>
            </w:r>
          </w:p>
        </w:tc>
      </w:tr>
      <w:tr w:rsidR="4A7CC396" w:rsidTr="4A7CC396" w14:paraId="6464F877">
        <w:trPr>
          <w:trHeight w:val="300"/>
        </w:trPr>
        <w:tc>
          <w:tcPr>
            <w:tcW w:w="1290" w:type="dxa"/>
            <w:tcMar/>
          </w:tcPr>
          <w:p w:rsidR="4A7CC396" w:rsidP="4A7CC396" w:rsidRDefault="4A7CC396" w14:paraId="31765A08" w14:textId="6CABE801">
            <w:pPr>
              <w:bidi w:val="0"/>
              <w:spacing w:before="0" w:beforeAutospacing="off" w:after="0" w:afterAutospacing="off"/>
            </w:pPr>
            <w:r w:rsidRPr="4A7CC396" w:rsidR="4A7CC396">
              <w:rPr>
                <w:color w:val="000000" w:themeColor="text1" w:themeTint="FF" w:themeShade="FF"/>
              </w:rPr>
              <w:t>Risk Assessment</w:t>
            </w:r>
          </w:p>
        </w:tc>
        <w:tc>
          <w:tcPr>
            <w:tcW w:w="1020" w:type="dxa"/>
            <w:tcMar/>
          </w:tcPr>
          <w:p w:rsidR="4A7CC396" w:rsidP="4A7CC396" w:rsidRDefault="4A7CC396" w14:paraId="106737C9" w14:textId="54BAC4E3">
            <w:pPr>
              <w:bidi w:val="0"/>
              <w:spacing w:before="0" w:beforeAutospacing="off" w:after="0" w:afterAutospacing="off"/>
            </w:pPr>
            <w:r w:rsidRPr="4A7CC396" w:rsidR="4A7CC396">
              <w:rPr>
                <w:color w:val="000000" w:themeColor="text1" w:themeTint="FF" w:themeShade="FF"/>
              </w:rPr>
              <w:t>1</w:t>
            </w:r>
          </w:p>
        </w:tc>
        <w:tc>
          <w:tcPr>
            <w:tcW w:w="1058" w:type="dxa"/>
            <w:tcMar/>
          </w:tcPr>
          <w:p w:rsidR="4A7CC396" w:rsidP="4A7CC396" w:rsidRDefault="4A7CC396" w14:paraId="63B5D69F" w14:textId="0407A9BA">
            <w:pPr>
              <w:bidi w:val="0"/>
              <w:spacing w:before="0" w:beforeAutospacing="off" w:after="0" w:afterAutospacing="off"/>
            </w:pPr>
            <w:r w:rsidRPr="4A7CC396" w:rsidR="4A7CC396">
              <w:rPr>
                <w:color w:val="000000" w:themeColor="text1" w:themeTint="FF" w:themeShade="FF"/>
              </w:rPr>
              <w:t>3.00</w:t>
            </w:r>
          </w:p>
        </w:tc>
        <w:tc>
          <w:tcPr>
            <w:tcW w:w="1298" w:type="dxa"/>
            <w:tcMar/>
          </w:tcPr>
          <w:p w:rsidR="4A7CC396" w:rsidP="4A7CC396" w:rsidRDefault="4A7CC396" w14:paraId="370FD482" w14:textId="1576554B">
            <w:pPr>
              <w:bidi w:val="0"/>
              <w:spacing w:before="0" w:beforeAutospacing="off" w:after="0" w:afterAutospacing="off"/>
            </w:pPr>
            <w:r w:rsidRPr="4A7CC396" w:rsidR="4A7CC396">
              <w:rPr>
                <w:color w:val="000000" w:themeColor="text1" w:themeTint="FF" w:themeShade="FF"/>
              </w:rPr>
              <w:t>Defined</w:t>
            </w:r>
          </w:p>
        </w:tc>
      </w:tr>
      <w:tr w:rsidR="4A7CC396" w:rsidTr="4A7CC396" w14:paraId="04041491">
        <w:trPr>
          <w:trHeight w:val="300"/>
        </w:trPr>
        <w:tc>
          <w:tcPr>
            <w:tcW w:w="1290" w:type="dxa"/>
            <w:tcMar/>
          </w:tcPr>
          <w:p w:rsidR="4A7CC396" w:rsidP="4A7CC396" w:rsidRDefault="4A7CC396" w14:paraId="2F099027" w14:textId="4A5E0122">
            <w:pPr>
              <w:bidi w:val="0"/>
              <w:spacing w:before="0" w:beforeAutospacing="off" w:after="0" w:afterAutospacing="off"/>
            </w:pPr>
            <w:r w:rsidRPr="4A7CC396" w:rsidR="4A7CC396">
              <w:rPr>
                <w:color w:val="000000" w:themeColor="text1" w:themeTint="FF" w:themeShade="FF"/>
              </w:rPr>
              <w:t>Safeguards Implementation</w:t>
            </w:r>
          </w:p>
        </w:tc>
        <w:tc>
          <w:tcPr>
            <w:tcW w:w="1020" w:type="dxa"/>
            <w:tcMar/>
          </w:tcPr>
          <w:p w:rsidR="4A7CC396" w:rsidP="4A7CC396" w:rsidRDefault="4A7CC396" w14:paraId="1C2EFC5F" w14:textId="603E0A35">
            <w:pPr>
              <w:bidi w:val="0"/>
              <w:spacing w:before="0" w:beforeAutospacing="off" w:after="0" w:afterAutospacing="off"/>
            </w:pPr>
            <w:r w:rsidRPr="4A7CC396" w:rsidR="4A7CC396">
              <w:rPr>
                <w:color w:val="000000" w:themeColor="text1" w:themeTint="FF" w:themeShade="FF"/>
              </w:rPr>
              <w:t>9</w:t>
            </w:r>
          </w:p>
        </w:tc>
        <w:tc>
          <w:tcPr>
            <w:tcW w:w="1058" w:type="dxa"/>
            <w:tcMar/>
          </w:tcPr>
          <w:p w:rsidR="4A7CC396" w:rsidP="4A7CC396" w:rsidRDefault="4A7CC396" w14:paraId="1E0943E4" w14:textId="26CD6D56">
            <w:pPr>
              <w:bidi w:val="0"/>
              <w:spacing w:before="0" w:beforeAutospacing="off" w:after="0" w:afterAutospacing="off"/>
            </w:pPr>
            <w:r w:rsidRPr="4A7CC396" w:rsidR="4A7CC396">
              <w:rPr>
                <w:color w:val="000000" w:themeColor="text1" w:themeTint="FF" w:themeShade="FF"/>
              </w:rPr>
              <w:t>2.34</w:t>
            </w:r>
          </w:p>
        </w:tc>
        <w:tc>
          <w:tcPr>
            <w:tcW w:w="1298" w:type="dxa"/>
            <w:tcMar/>
          </w:tcPr>
          <w:p w:rsidR="4A7CC396" w:rsidP="4A7CC396" w:rsidRDefault="4A7CC396" w14:paraId="23A3A115" w14:textId="1457ED19">
            <w:pPr>
              <w:bidi w:val="0"/>
              <w:spacing w:before="0" w:beforeAutospacing="off" w:after="0" w:afterAutospacing="off"/>
            </w:pPr>
            <w:r w:rsidRPr="4A7CC396" w:rsidR="4A7CC396">
              <w:rPr>
                <w:color w:val="000000" w:themeColor="text1" w:themeTint="FF" w:themeShade="FF"/>
              </w:rPr>
              <w:t>Developing</w:t>
            </w:r>
          </w:p>
        </w:tc>
      </w:tr>
      <w:tr w:rsidR="4A7CC396" w:rsidTr="4A7CC396" w14:paraId="4D2E65B4">
        <w:trPr>
          <w:trHeight w:val="300"/>
        </w:trPr>
        <w:tc>
          <w:tcPr>
            <w:tcW w:w="1290" w:type="dxa"/>
            <w:tcMar/>
          </w:tcPr>
          <w:p w:rsidR="4A7CC396" w:rsidP="4A7CC396" w:rsidRDefault="4A7CC396" w14:paraId="34F2696E" w14:textId="18FBED9B">
            <w:pPr>
              <w:bidi w:val="0"/>
              <w:spacing w:before="0" w:beforeAutospacing="off" w:after="0" w:afterAutospacing="off"/>
            </w:pPr>
            <w:r w:rsidRPr="4A7CC396" w:rsidR="4A7CC396">
              <w:rPr>
                <w:color w:val="000000" w:themeColor="text1" w:themeTint="FF" w:themeShade="FF"/>
              </w:rPr>
              <w:t>Vendor Oversight</w:t>
            </w:r>
          </w:p>
        </w:tc>
        <w:tc>
          <w:tcPr>
            <w:tcW w:w="1020" w:type="dxa"/>
            <w:tcMar/>
          </w:tcPr>
          <w:p w:rsidR="4A7CC396" w:rsidP="4A7CC396" w:rsidRDefault="4A7CC396" w14:paraId="48FBD9C1" w14:textId="7AE8C12C">
            <w:pPr>
              <w:bidi w:val="0"/>
              <w:spacing w:before="0" w:beforeAutospacing="off" w:after="0" w:afterAutospacing="off"/>
            </w:pPr>
            <w:r w:rsidRPr="4A7CC396" w:rsidR="4A7CC396">
              <w:rPr>
                <w:color w:val="000000" w:themeColor="text1" w:themeTint="FF" w:themeShade="FF"/>
              </w:rPr>
              <w:t>1</w:t>
            </w:r>
          </w:p>
        </w:tc>
        <w:tc>
          <w:tcPr>
            <w:tcW w:w="1058" w:type="dxa"/>
            <w:tcMar/>
          </w:tcPr>
          <w:p w:rsidR="4A7CC396" w:rsidP="4A7CC396" w:rsidRDefault="4A7CC396" w14:paraId="4275851E" w14:textId="70B6F2BD">
            <w:pPr>
              <w:bidi w:val="0"/>
              <w:spacing w:before="0" w:beforeAutospacing="off" w:after="0" w:afterAutospacing="off"/>
            </w:pPr>
            <w:r w:rsidRPr="4A7CC396" w:rsidR="4A7CC396">
              <w:rPr>
                <w:color w:val="000000" w:themeColor="text1" w:themeTint="FF" w:themeShade="FF"/>
              </w:rPr>
              <w:t>1.00</w:t>
            </w:r>
          </w:p>
        </w:tc>
        <w:tc>
          <w:tcPr>
            <w:tcW w:w="1298" w:type="dxa"/>
            <w:tcMar/>
          </w:tcPr>
          <w:p w:rsidR="4A7CC396" w:rsidP="4A7CC396" w:rsidRDefault="4A7CC396" w14:paraId="05458567" w14:textId="70D4919F">
            <w:pPr>
              <w:bidi w:val="0"/>
              <w:spacing w:before="0" w:beforeAutospacing="off" w:after="0" w:afterAutospacing="off"/>
            </w:pPr>
            <w:r w:rsidRPr="4A7CC396" w:rsidR="4A7CC396">
              <w:rPr>
                <w:color w:val="000000" w:themeColor="text1" w:themeTint="FF" w:themeShade="FF"/>
              </w:rPr>
              <w:t>Initial</w:t>
            </w:r>
          </w:p>
        </w:tc>
      </w:tr>
      <w:tr w:rsidR="4A7CC396" w:rsidTr="4A7CC396" w14:paraId="70E10756">
        <w:trPr>
          <w:trHeight w:val="300"/>
        </w:trPr>
        <w:tc>
          <w:tcPr>
            <w:tcW w:w="1290" w:type="dxa"/>
            <w:tcMar/>
          </w:tcPr>
          <w:p w:rsidR="4A7CC396" w:rsidP="4A7CC396" w:rsidRDefault="4A7CC396" w14:paraId="505E7197" w14:textId="6FC68868">
            <w:pPr>
              <w:bidi w:val="0"/>
              <w:spacing w:before="0" w:beforeAutospacing="off" w:after="0" w:afterAutospacing="off"/>
            </w:pPr>
            <w:r w:rsidRPr="4A7CC396" w:rsidR="4A7CC396">
              <w:rPr>
                <w:color w:val="000000" w:themeColor="text1" w:themeTint="FF" w:themeShade="FF"/>
              </w:rPr>
              <w:t>Incident Response</w:t>
            </w:r>
          </w:p>
        </w:tc>
        <w:tc>
          <w:tcPr>
            <w:tcW w:w="1020" w:type="dxa"/>
            <w:tcMar/>
          </w:tcPr>
          <w:p w:rsidR="4A7CC396" w:rsidP="4A7CC396" w:rsidRDefault="4A7CC396" w14:paraId="2CC006E7" w14:textId="39F18DFA">
            <w:pPr>
              <w:bidi w:val="0"/>
              <w:spacing w:before="0" w:beforeAutospacing="off" w:after="0" w:afterAutospacing="off"/>
            </w:pPr>
            <w:r w:rsidRPr="4A7CC396" w:rsidR="4A7CC396">
              <w:rPr>
                <w:color w:val="000000" w:themeColor="text1" w:themeTint="FF" w:themeShade="FF"/>
              </w:rPr>
              <w:t>1</w:t>
            </w:r>
          </w:p>
        </w:tc>
        <w:tc>
          <w:tcPr>
            <w:tcW w:w="1058" w:type="dxa"/>
            <w:tcMar/>
          </w:tcPr>
          <w:p w:rsidR="4A7CC396" w:rsidP="4A7CC396" w:rsidRDefault="4A7CC396" w14:paraId="3BE0CBBB" w14:textId="750A54ED">
            <w:pPr>
              <w:bidi w:val="0"/>
              <w:spacing w:before="0" w:beforeAutospacing="off" w:after="0" w:afterAutospacing="off"/>
            </w:pPr>
            <w:r w:rsidRPr="4A7CC396" w:rsidR="4A7CC396">
              <w:rPr>
                <w:color w:val="000000" w:themeColor="text1" w:themeTint="FF" w:themeShade="FF"/>
              </w:rPr>
              <w:t>2.00</w:t>
            </w:r>
          </w:p>
        </w:tc>
        <w:tc>
          <w:tcPr>
            <w:tcW w:w="1298" w:type="dxa"/>
            <w:tcMar/>
          </w:tcPr>
          <w:p w:rsidR="4A7CC396" w:rsidP="4A7CC396" w:rsidRDefault="4A7CC396" w14:paraId="40BEEFAA" w14:textId="0F42D0C3">
            <w:pPr>
              <w:bidi w:val="0"/>
              <w:spacing w:before="0" w:beforeAutospacing="off" w:after="0" w:afterAutospacing="off"/>
            </w:pPr>
            <w:r w:rsidRPr="4A7CC396" w:rsidR="4A7CC396">
              <w:rPr>
                <w:color w:val="000000" w:themeColor="text1" w:themeTint="FF" w:themeShade="FF"/>
              </w:rPr>
              <w:t>Developing</w:t>
            </w:r>
          </w:p>
        </w:tc>
      </w:tr>
    </w:tbl>
    <w:p xmlns:wp14="http://schemas.microsoft.com/office/word/2010/wordml" w:rsidP="4A7CC396" w:rsidRDefault="00000000" w14:paraId="00000030" wp14:textId="574562B4">
      <w:pPr>
        <w:pStyle w:val="Heading2"/>
        <w:suppressLineNumbers w:val="0"/>
        <w:bidi w:val="0"/>
        <w:spacing w:before="180" w:beforeAutospacing="off" w:after="0" w:afterAutospacing="off" w:line="259" w:lineRule="auto"/>
        <w:ind w:left="0" w:right="0"/>
        <w:jc w:val="both"/>
      </w:pPr>
      <w:r w:rsidR="1AC55103">
        <w:rPr/>
        <w:t xml:space="preserve">II.  System </w:t>
      </w:r>
      <w:r w:rsidR="6932F4AA">
        <w:rPr/>
        <w:t>A</w:t>
      </w:r>
      <w:r w:rsidR="1AC55103">
        <w:rPr/>
        <w:t xml:space="preserve">rchitecture and </w:t>
      </w:r>
      <w:r w:rsidR="231F9C53">
        <w:rPr/>
        <w:t>P</w:t>
      </w:r>
      <w:r w:rsidR="1AC55103">
        <w:rPr/>
        <w:t>ipeline</w:t>
      </w:r>
    </w:p>
    <w:p w:rsidR="4FBA81F7" w:rsidP="4C15D6E0" w:rsidRDefault="4FBA81F7" w14:paraId="68AA72FD" w14:textId="60AC2E26">
      <w:pPr>
        <w:pStyle w:val="Normal"/>
        <w:jc w:val="both"/>
      </w:pPr>
      <w:r w:rsidRPr="4C15D6E0" w:rsidR="32D64C6E">
        <w:rPr>
          <w:rFonts w:ascii="Aptos" w:hAnsi="Aptos" w:eastAsia="Aptos" w:cs="Aptos"/>
          <w:noProof w:val="0"/>
          <w:color w:val="000000" w:themeColor="text1" w:themeTint="FF" w:themeShade="FF"/>
          <w:sz w:val="20"/>
          <w:szCs w:val="20"/>
          <w:lang w:val="en-US"/>
        </w:rPr>
        <w:t>GRC-LLM is built on a four-stage data and model pipeline: Upload, Data Preparation, Assessment, and Output</w:t>
      </w:r>
      <w:r w:rsidRPr="4C15D6E0" w:rsidR="2F5C53B6">
        <w:rPr>
          <w:rFonts w:ascii="Aptos" w:hAnsi="Aptos" w:eastAsia="Aptos" w:cs="Aptos"/>
          <w:noProof w:val="0"/>
          <w:color w:val="000000" w:themeColor="text1" w:themeTint="FF" w:themeShade="FF"/>
          <w:sz w:val="20"/>
          <w:szCs w:val="20"/>
          <w:lang w:val="en-US"/>
        </w:rPr>
        <w:t xml:space="preserve">, </w:t>
      </w:r>
      <w:r w:rsidRPr="4C15D6E0" w:rsidR="2F5C53B6">
        <w:rPr>
          <w:rFonts w:ascii="Aptos" w:hAnsi="Aptos" w:eastAsia="Aptos" w:cs="Aptos"/>
          <w:noProof w:val="0"/>
          <w:color w:val="000000" w:themeColor="text1" w:themeTint="FF" w:themeShade="FF"/>
          <w:sz w:val="20"/>
          <w:szCs w:val="20"/>
          <w:lang w:val="en-US"/>
        </w:rPr>
        <w:t>as illustrated in Fig. 3.</w:t>
      </w:r>
    </w:p>
    <w:p w:rsidR="654048B6" w:rsidP="654048B6" w:rsidRDefault="654048B6" w14:paraId="0FA6B59B" w14:textId="21329D16">
      <w:pPr>
        <w:jc w:val="both"/>
        <w:rPr>
          <w:rFonts w:ascii="Aptos" w:hAnsi="Aptos" w:eastAsia="Aptos" w:cs="Aptos"/>
          <w:noProof w:val="0"/>
          <w:color w:val="000000" w:themeColor="text1" w:themeTint="FF" w:themeShade="FF"/>
          <w:sz w:val="20"/>
          <w:szCs w:val="20"/>
          <w:lang w:val="en-US"/>
        </w:rPr>
      </w:pPr>
    </w:p>
    <w:p w:rsidR="591368A5" w:rsidP="654048B6" w:rsidRDefault="591368A5" w14:paraId="0D30BF6C" w14:textId="7714FB16">
      <w:pPr>
        <w:pStyle w:val="Normal"/>
        <w:jc w:val="center"/>
      </w:pPr>
      <w:r w:rsidR="591368A5">
        <w:drawing>
          <wp:inline wp14:editId="42599A74" wp14:anchorId="64A81A6B">
            <wp:extent cx="1828800" cy="2962275"/>
            <wp:effectExtent l="0" t="0" r="0" b="0"/>
            <wp:docPr id="1795007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5007556" name="Picture 1795007556"/>
                    <pic:cNvPicPr/>
                  </pic:nvPicPr>
                  <pic:blipFill>
                    <a:blip xmlns:r="http://schemas.openxmlformats.org/officeDocument/2006/relationships" r:embed="rId320869943">
                      <a:extLst>
                        <a:ext uri="{28A0092B-C50C-407E-A947-70E740481C1C}">
                          <a14:useLocalDpi xmlns:a14="http://schemas.microsoft.com/office/drawing/2010/main"/>
                        </a:ext>
                      </a:extLst>
                    </a:blip>
                    <a:stretch>
                      <a:fillRect/>
                    </a:stretch>
                  </pic:blipFill>
                  <pic:spPr>
                    <a:xfrm>
                      <a:off x="0" y="0"/>
                      <a:ext cx="1828800" cy="2962275"/>
                    </a:xfrm>
                    <a:prstGeom prst="rect">
                      <a:avLst/>
                    </a:prstGeom>
                  </pic:spPr>
                </pic:pic>
              </a:graphicData>
            </a:graphic>
          </wp:inline>
        </w:drawing>
      </w:r>
    </w:p>
    <w:p w:rsidR="591368A5" w:rsidP="654048B6" w:rsidRDefault="591368A5" w14:paraId="450AE0FC" w14:textId="70968919">
      <w:pPr>
        <w:jc w:val="center"/>
        <w:rPr>
          <w:rFonts w:ascii="Times New Roman" w:hAnsi="Times New Roman" w:eastAsia="Times New Roman" w:cs="Times New Roman"/>
          <w:noProof w:val="0"/>
          <w:sz w:val="20"/>
          <w:szCs w:val="20"/>
          <w:lang w:val="en"/>
        </w:rPr>
      </w:pPr>
      <w:r w:rsidRPr="654048B6" w:rsidR="591368A5">
        <w:rPr>
          <w:rFonts w:ascii="Times New Roman" w:hAnsi="Times New Roman" w:eastAsia="Times New Roman" w:cs="Times New Roman"/>
          <w:noProof w:val="0"/>
          <w:sz w:val="20"/>
          <w:szCs w:val="20"/>
          <w:lang w:val="en"/>
        </w:rPr>
        <w:t xml:space="preserve">Fig. </w:t>
      </w:r>
      <w:r w:rsidRPr="654048B6" w:rsidR="1F03519F">
        <w:rPr>
          <w:rFonts w:ascii="Times New Roman" w:hAnsi="Times New Roman" w:eastAsia="Times New Roman" w:cs="Times New Roman"/>
          <w:noProof w:val="0"/>
          <w:sz w:val="20"/>
          <w:szCs w:val="20"/>
          <w:lang w:val="en"/>
        </w:rPr>
        <w:t>3</w:t>
      </w:r>
      <w:r w:rsidRPr="654048B6" w:rsidR="591368A5">
        <w:rPr>
          <w:rFonts w:ascii="Times New Roman" w:hAnsi="Times New Roman" w:eastAsia="Times New Roman" w:cs="Times New Roman"/>
          <w:noProof w:val="0"/>
          <w:sz w:val="20"/>
          <w:szCs w:val="20"/>
          <w:lang w:val="en"/>
        </w:rPr>
        <w:t>. Retrieval-Augmented Assessment Pipeline of the GRC-LLM Maturity Assessment System.</w:t>
      </w:r>
    </w:p>
    <w:p w:rsidR="654048B6" w:rsidP="654048B6" w:rsidRDefault="654048B6" w14:paraId="2341A95A" w14:textId="60E74E28">
      <w:pPr>
        <w:pStyle w:val="Normal"/>
        <w:jc w:val="center"/>
      </w:pPr>
    </w:p>
    <w:p w:rsidR="4FBA81F7" w:rsidP="11C5856B" w:rsidRDefault="4FBA81F7" w14:paraId="44890F48" w14:textId="77ECBF18">
      <w:pPr>
        <w:jc w:val="both"/>
      </w:pPr>
      <w:r w:rsidRPr="11C5856B" w:rsidR="4FBA81F7">
        <w:rPr>
          <w:rFonts w:ascii="Aptos" w:hAnsi="Aptos" w:eastAsia="Aptos" w:cs="Aptos"/>
          <w:noProof w:val="0"/>
          <w:color w:val="000000" w:themeColor="text1" w:themeTint="FF" w:themeShade="FF"/>
          <w:sz w:val="20"/>
          <w:szCs w:val="20"/>
          <w:lang w:val="en-US"/>
        </w:rPr>
        <w:t>The first stage is Upload. The user submits a PDF of their organizational security policy through the system interface. The user also selects which security frameworks they want to assess against.</w:t>
      </w:r>
    </w:p>
    <w:p w:rsidR="4FBA81F7" w:rsidP="11C5856B" w:rsidRDefault="4FBA81F7" w14:paraId="27DDC9A3" w14:textId="2A3A8AAC">
      <w:pPr>
        <w:jc w:val="both"/>
      </w:pPr>
      <w:r w:rsidRPr="11C5856B" w:rsidR="4FBA81F7">
        <w:rPr>
          <w:rFonts w:ascii="Aptos" w:hAnsi="Aptos" w:eastAsia="Aptos" w:cs="Aptos"/>
          <w:noProof w:val="0"/>
          <w:color w:val="000000" w:themeColor="text1" w:themeTint="FF" w:themeShade="FF"/>
          <w:sz w:val="20"/>
          <w:szCs w:val="20"/>
          <w:lang w:val="en-US"/>
        </w:rPr>
        <w:t>The second stage is Data Preparation. PyMuPDF extracts the raw text from the uploaded PDF. The extracted text is then split into 400-token chunks with a 50-token overlap between chunks to preserve context across boundaries. Each chunk is converted into a vector embedding using the sentence-transformers all-mpnet-base-v2 model and stored in ChromaDB, an open-source vector database. In parallel, the selected security frameworks are loaded via API, with each framework's controls also embedded and indexed for retrieval.</w:t>
      </w:r>
    </w:p>
    <w:p w:rsidR="4FBA81F7" w:rsidP="5C222896" w:rsidRDefault="4FBA81F7" w14:paraId="5305D444" w14:textId="52210B28">
      <w:pPr>
        <w:jc w:val="both"/>
      </w:pPr>
      <w:r w:rsidRPr="654048B6" w:rsidR="32D64C6E">
        <w:rPr>
          <w:rFonts w:ascii="Aptos" w:hAnsi="Aptos" w:eastAsia="Aptos" w:cs="Aptos"/>
          <w:noProof w:val="0"/>
          <w:color w:val="000000" w:themeColor="text1" w:themeTint="FF" w:themeShade="FF"/>
          <w:sz w:val="20"/>
          <w:szCs w:val="20"/>
          <w:lang w:val="en-US"/>
        </w:rPr>
        <w:t xml:space="preserve">The third stage is Assessment. For each control in the selected framework, GRC-LLM queries </w:t>
      </w:r>
      <w:r w:rsidRPr="654048B6" w:rsidR="32D64C6E">
        <w:rPr>
          <w:rFonts w:ascii="Aptos" w:hAnsi="Aptos" w:eastAsia="Aptos" w:cs="Aptos"/>
          <w:noProof w:val="0"/>
          <w:color w:val="000000" w:themeColor="text1" w:themeTint="FF" w:themeShade="FF"/>
          <w:sz w:val="20"/>
          <w:szCs w:val="20"/>
          <w:lang w:val="en-US"/>
        </w:rPr>
        <w:t>ChromaDB</w:t>
      </w:r>
      <w:r w:rsidRPr="654048B6" w:rsidR="32D64C6E">
        <w:rPr>
          <w:rFonts w:ascii="Aptos" w:hAnsi="Aptos" w:eastAsia="Aptos" w:cs="Aptos"/>
          <w:noProof w:val="0"/>
          <w:color w:val="000000" w:themeColor="text1" w:themeTint="FF" w:themeShade="FF"/>
          <w:sz w:val="20"/>
          <w:szCs w:val="20"/>
          <w:lang w:val="en-US"/>
        </w:rPr>
        <w:t xml:space="preserve"> to retrieve the five most semantically relevant chunks from the submitted policy document. These retrieved passages, together with the control requirement, are passed as a prompt to Claude, the LLM powering the assessment. Claude returns a structured JSON object for each control </w:t>
      </w:r>
      <w:r w:rsidRPr="654048B6" w:rsidR="32D64C6E">
        <w:rPr>
          <w:rFonts w:ascii="Aptos" w:hAnsi="Aptos" w:eastAsia="Aptos" w:cs="Aptos"/>
          <w:noProof w:val="0"/>
          <w:color w:val="000000" w:themeColor="text1" w:themeTint="FF" w:themeShade="FF"/>
          <w:sz w:val="20"/>
          <w:szCs w:val="20"/>
          <w:lang w:val="en-US"/>
        </w:rPr>
        <w:t>containing</w:t>
      </w:r>
      <w:r w:rsidRPr="654048B6" w:rsidR="32D64C6E">
        <w:rPr>
          <w:rFonts w:ascii="Aptos" w:hAnsi="Aptos" w:eastAsia="Aptos" w:cs="Aptos"/>
          <w:noProof w:val="0"/>
          <w:color w:val="000000" w:themeColor="text1" w:themeTint="FF" w:themeShade="FF"/>
          <w:sz w:val="20"/>
          <w:szCs w:val="20"/>
          <w:lang w:val="en-US"/>
        </w:rPr>
        <w:t xml:space="preserve"> a maturity score on the 0 to 5 scale, the specific evidence from the policy that supports the score, </w:t>
      </w:r>
      <w:r w:rsidRPr="654048B6" w:rsidR="32D64C6E">
        <w:rPr>
          <w:rFonts w:ascii="Aptos" w:hAnsi="Aptos" w:eastAsia="Aptos" w:cs="Aptos"/>
          <w:noProof w:val="0"/>
          <w:color w:val="000000" w:themeColor="text1" w:themeTint="FF" w:themeShade="FF"/>
          <w:sz w:val="20"/>
          <w:szCs w:val="20"/>
          <w:lang w:val="en-US"/>
        </w:rPr>
        <w:t>identified</w:t>
      </w:r>
      <w:r w:rsidRPr="654048B6" w:rsidR="32D64C6E">
        <w:rPr>
          <w:rFonts w:ascii="Aptos" w:hAnsi="Aptos" w:eastAsia="Aptos" w:cs="Aptos"/>
          <w:noProof w:val="0"/>
          <w:color w:val="000000" w:themeColor="text1" w:themeTint="FF" w:themeShade="FF"/>
          <w:sz w:val="20"/>
          <w:szCs w:val="20"/>
          <w:lang w:val="en-US"/>
        </w:rPr>
        <w:t xml:space="preserve"> gaps where the policy falls short of the control requirement, and remediation recommendations. </w:t>
      </w:r>
      <w:r w:rsidRPr="654048B6" w:rsidR="06B3303F">
        <w:rPr>
          <w:rFonts w:ascii="Aptos" w:hAnsi="Aptos" w:eastAsia="Aptos" w:cs="Aptos"/>
          <w:noProof w:val="0"/>
          <w:color w:val="000000" w:themeColor="text1" w:themeTint="FF" w:themeShade="FF"/>
          <w:sz w:val="20"/>
          <w:szCs w:val="20"/>
          <w:lang w:val="en-US"/>
        </w:rPr>
        <w:t>Low-</w:t>
      </w:r>
      <w:r w:rsidRPr="654048B6" w:rsidR="06B3303F">
        <w:rPr>
          <w:rFonts w:ascii="Aptos" w:hAnsi="Aptos" w:eastAsia="Aptos" w:cs="Aptos"/>
          <w:noProof w:val="0"/>
          <w:color w:val="000000" w:themeColor="text1" w:themeTint="FF" w:themeShade="FF"/>
          <w:sz w:val="20"/>
          <w:szCs w:val="20"/>
          <w:lang w:val="en-US"/>
        </w:rPr>
        <w:t>confidence assessments, where the retrieved policy passages do not contain sufficient evidence to support a confident maturity determination for a given control, are flagged for mandatory human review before proceeding. In these cases the system surfaces the control, the retrieved evidence, and the preliminary assessment to the analyst, who can override the score, request additional evidence, or escalate the finding. This mechanism ensures that uncertainty in the automated assessment is never silently absorbed into the final report.</w:t>
      </w:r>
    </w:p>
    <w:p w:rsidR="4FBA81F7" w:rsidP="4A7CC396" w:rsidRDefault="4FBA81F7" w14:paraId="6F4F7202" w14:textId="2D5C3CEE">
      <w:pPr>
        <w:pStyle w:val="Normal"/>
        <w:spacing w:after="240" w:afterAutospacing="off"/>
        <w:jc w:val="both"/>
        <w:rPr>
          <w:rFonts w:ascii="Aptos" w:hAnsi="Aptos" w:eastAsia="Aptos" w:cs="Aptos"/>
          <w:noProof w:val="0"/>
          <w:color w:val="000000" w:themeColor="text1" w:themeTint="FF" w:themeShade="FF"/>
          <w:sz w:val="20"/>
          <w:szCs w:val="20"/>
          <w:lang w:val="en-US"/>
        </w:rPr>
      </w:pPr>
      <w:r w:rsidRPr="4A7CC396" w:rsidR="32D64C6E">
        <w:rPr>
          <w:rFonts w:ascii="Aptos" w:hAnsi="Aptos" w:eastAsia="Aptos" w:cs="Aptos"/>
          <w:noProof w:val="0"/>
          <w:color w:val="000000" w:themeColor="text1" w:themeTint="FF" w:themeShade="FF"/>
          <w:sz w:val="20"/>
          <w:szCs w:val="20"/>
          <w:lang w:val="en-US"/>
        </w:rPr>
        <w:t xml:space="preserve">The fourth stage is Output. Individual control scores are aggregated into control family scores, which are then weighted by system impact level to produce an overall framework posture score. </w:t>
      </w:r>
      <w:r w:rsidRPr="4A7CC396" w:rsidR="07B52634">
        <w:rPr>
          <w:rFonts w:ascii="Aptos" w:hAnsi="Aptos" w:eastAsia="Aptos" w:cs="Aptos"/>
          <w:noProof w:val="0"/>
          <w:color w:val="000000" w:themeColor="text1" w:themeTint="FF" w:themeShade="FF"/>
          <w:sz w:val="20"/>
          <w:szCs w:val="20"/>
          <w:lang w:val="en-US"/>
        </w:rPr>
        <w:t>As illustrated in Fig. 4,</w:t>
      </w:r>
      <w:r w:rsidRPr="4A7CC396" w:rsidR="07B52634">
        <w:rPr>
          <w:rFonts w:ascii="Aptos" w:hAnsi="Aptos" w:eastAsia="Aptos" w:cs="Aptos"/>
          <w:noProof w:val="0"/>
          <w:color w:val="000000" w:themeColor="text1" w:themeTint="FF" w:themeShade="FF"/>
          <w:sz w:val="20"/>
          <w:szCs w:val="20"/>
          <w:lang w:val="en-US"/>
        </w:rPr>
        <w:t xml:space="preserve"> t</w:t>
      </w:r>
      <w:r w:rsidRPr="4A7CC396" w:rsidR="32D64C6E">
        <w:rPr>
          <w:rFonts w:ascii="Aptos" w:hAnsi="Aptos" w:eastAsia="Aptos" w:cs="Aptos"/>
          <w:noProof w:val="0"/>
          <w:color w:val="000000" w:themeColor="text1" w:themeTint="FF" w:themeShade="FF"/>
          <w:sz w:val="20"/>
          <w:szCs w:val="20"/>
          <w:lang w:val="en-US"/>
        </w:rPr>
        <w:t xml:space="preserve">he JSON outputs are formatted into a human-readable report </w:t>
      </w:r>
      <w:r w:rsidRPr="4A7CC396" w:rsidR="32D64C6E">
        <w:rPr>
          <w:rFonts w:ascii="Aptos" w:hAnsi="Aptos" w:eastAsia="Aptos" w:cs="Aptos"/>
          <w:noProof w:val="0"/>
          <w:color w:val="000000" w:themeColor="text1" w:themeTint="FF" w:themeShade="FF"/>
          <w:sz w:val="20"/>
          <w:szCs w:val="20"/>
          <w:lang w:val="en-US"/>
        </w:rPr>
        <w:t>containing</w:t>
      </w:r>
      <w:r w:rsidRPr="4A7CC396" w:rsidR="32D64C6E">
        <w:rPr>
          <w:rFonts w:ascii="Aptos" w:hAnsi="Aptos" w:eastAsia="Aptos" w:cs="Aptos"/>
          <w:noProof w:val="0"/>
          <w:color w:val="000000" w:themeColor="text1" w:themeTint="FF" w:themeShade="FF"/>
          <w:sz w:val="20"/>
          <w:szCs w:val="20"/>
          <w:lang w:val="en-US"/>
        </w:rPr>
        <w:t xml:space="preserve"> an executive summary with framework-level scores and maturity levels, family-level score breakdowns, and full control-level detail including rationale, evidence, gaps, and recommendations for each assessed control. All outputs are advisory and require analyst review and explicit sign-off before being treated as final findings.</w:t>
      </w:r>
    </w:p>
    <w:p w:rsidR="3F3B0044" w:rsidP="5C222896" w:rsidRDefault="3F3B0044" w14:paraId="0D4E05CA" w14:textId="3C9F6BE7">
      <w:pPr>
        <w:jc w:val="both"/>
        <w:rPr>
          <w:rFonts w:ascii="Aptos" w:hAnsi="Aptos" w:eastAsia="Aptos" w:cs="Aptos"/>
          <w:noProof w:val="0"/>
          <w:color w:val="000000" w:themeColor="text1" w:themeTint="FF" w:themeShade="FF"/>
          <w:sz w:val="20"/>
          <w:szCs w:val="20"/>
          <w:lang w:val="en-US"/>
        </w:rPr>
      </w:pPr>
      <w:r w:rsidR="4CBF6886">
        <w:drawing>
          <wp:inline wp14:editId="2E4345EA" wp14:anchorId="43798940">
            <wp:extent cx="2857500" cy="3086100"/>
            <wp:effectExtent l="0" t="0" r="0" b="0"/>
            <wp:docPr id="1712830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2830050" name="Picture 1712830050"/>
                    <pic:cNvPicPr/>
                  </pic:nvPicPr>
                  <pic:blipFill>
                    <a:blip xmlns:r="http://schemas.openxmlformats.org/officeDocument/2006/relationships" r:embed="rId807398348">
                      <a:extLst>
                        <a:ext uri="{28A0092B-C50C-407E-A947-70E740481C1C}">
                          <a14:useLocalDpi xmlns:a14="http://schemas.microsoft.com/office/drawing/2010/main"/>
                        </a:ext>
                      </a:extLst>
                    </a:blip>
                    <a:stretch>
                      <a:fillRect/>
                    </a:stretch>
                  </pic:blipFill>
                  <pic:spPr>
                    <a:xfrm rot="0">
                      <a:off x="0" y="0"/>
                      <a:ext cx="2857500" cy="3086100"/>
                    </a:xfrm>
                    <a:prstGeom prst="rect">
                      <a:avLst/>
                    </a:prstGeom>
                  </pic:spPr>
                </pic:pic>
              </a:graphicData>
            </a:graphic>
          </wp:inline>
        </w:drawing>
      </w:r>
    </w:p>
    <w:p w:rsidR="14B67626" w:rsidP="4C15D6E0" w:rsidRDefault="14B67626" w14:paraId="7DC97802" w14:textId="222700DF">
      <w:pPr>
        <w:pStyle w:val="Normal"/>
        <w:jc w:val="center"/>
        <w:rPr>
          <w:rFonts w:ascii="Aptos" w:hAnsi="Aptos" w:eastAsia="Aptos" w:cs="Aptos"/>
          <w:noProof w:val="0"/>
          <w:color w:val="000000" w:themeColor="text1" w:themeTint="FF" w:themeShade="FF"/>
          <w:sz w:val="18"/>
          <w:szCs w:val="18"/>
          <w:lang w:val="en-US"/>
        </w:rPr>
      </w:pPr>
      <w:r w:rsidRPr="4C15D6E0" w:rsidR="14B67626">
        <w:rPr>
          <w:rFonts w:ascii="Aptos" w:hAnsi="Aptos" w:eastAsia="Aptos" w:cs="Aptos"/>
          <w:noProof w:val="0"/>
          <w:color w:val="000000" w:themeColor="text1" w:themeTint="FF" w:themeShade="FF"/>
          <w:sz w:val="18"/>
          <w:szCs w:val="18"/>
          <w:lang w:val="en-US"/>
        </w:rPr>
        <w:t>Fig</w:t>
      </w:r>
      <w:r w:rsidRPr="4C15D6E0" w:rsidR="36F5E8C2">
        <w:rPr>
          <w:rFonts w:ascii="Aptos" w:hAnsi="Aptos" w:eastAsia="Aptos" w:cs="Aptos"/>
          <w:noProof w:val="0"/>
          <w:color w:val="000000" w:themeColor="text1" w:themeTint="FF" w:themeShade="FF"/>
          <w:sz w:val="18"/>
          <w:szCs w:val="18"/>
          <w:lang w:val="en-US"/>
        </w:rPr>
        <w:t>.</w:t>
      </w:r>
      <w:r w:rsidRPr="4C15D6E0" w:rsidR="14B67626">
        <w:rPr>
          <w:rFonts w:ascii="Aptos" w:hAnsi="Aptos" w:eastAsia="Aptos" w:cs="Aptos"/>
          <w:noProof w:val="0"/>
          <w:color w:val="000000" w:themeColor="text1" w:themeTint="FF" w:themeShade="FF"/>
          <w:sz w:val="18"/>
          <w:szCs w:val="18"/>
          <w:lang w:val="en-US"/>
        </w:rPr>
        <w:t xml:space="preserve"> 4.</w:t>
      </w:r>
      <w:r w:rsidRPr="4C15D6E0" w:rsidR="2C1A4C41">
        <w:rPr>
          <w:rFonts w:ascii="Aptos" w:hAnsi="Aptos" w:eastAsia="Aptos" w:cs="Aptos"/>
          <w:noProof w:val="0"/>
          <w:color w:val="000000" w:themeColor="text1" w:themeTint="FF" w:themeShade="FF"/>
          <w:sz w:val="18"/>
          <w:szCs w:val="18"/>
          <w:lang w:val="en-US"/>
        </w:rPr>
        <w:t xml:space="preserve"> GRC-LLM System Architecture and Data Pipeline: Upload, Data Preparation, Assessment, and Output Stages</w:t>
      </w:r>
    </w:p>
    <w:p xmlns:wp14="http://schemas.microsoft.com/office/word/2010/wordml" w:rsidRDefault="00000000" w14:paraId="00000036" wp14:textId="580F27BB">
      <w:pPr>
        <w:pStyle w:val="Heading2"/>
      </w:pPr>
      <w:bookmarkStart w:name="_heading=h.luv8qh1l0nai" w:colFirst="0" w:colLast="0" w:id="6"/>
      <w:bookmarkEnd w:id="6"/>
      <w:r w:rsidR="1AC55103">
        <w:rPr/>
        <w:t xml:space="preserve">III.  Tools and </w:t>
      </w:r>
      <w:r w:rsidR="3ADB77CC">
        <w:rPr/>
        <w:t>I</w:t>
      </w:r>
      <w:r w:rsidR="1AC55103">
        <w:rPr/>
        <w:t>nfrastructure</w:t>
      </w:r>
      <w:r>
        <w:rPr>
          <w:rtl w:val="0"/>
        </w:rPr>
      </w:r>
    </w:p>
    <w:p w:rsidR="7D20C3C1" w:rsidP="11C5856B" w:rsidRDefault="7D20C3C1" w14:paraId="59EC73A7" w14:textId="3AA05D0E">
      <w:pPr>
        <w:jc w:val="both"/>
      </w:pPr>
      <w:r w:rsidRPr="11C5856B" w:rsidR="7D20C3C1">
        <w:rPr>
          <w:rFonts w:ascii="Aptos" w:hAnsi="Aptos" w:eastAsia="Aptos" w:cs="Aptos"/>
          <w:noProof w:val="0"/>
          <w:color w:val="000000" w:themeColor="text1" w:themeTint="FF" w:themeShade="FF"/>
          <w:sz w:val="20"/>
          <w:szCs w:val="20"/>
          <w:lang w:val="en-US"/>
        </w:rPr>
        <w:t>The following tools were selected for GRC-LLM based on their demonstrated contribution to performance, cost-effectiveness, and overall feasibility.</w:t>
      </w:r>
    </w:p>
    <w:p w:rsidR="7D20C3C1" w:rsidP="5C222896" w:rsidRDefault="7D20C3C1" w14:paraId="12B491BA" w14:textId="5C2C37E3">
      <w:pPr>
        <w:jc w:val="both"/>
      </w:pPr>
      <w:r w:rsidRPr="654048B6" w:rsidR="75CDE180">
        <w:rPr>
          <w:rFonts w:ascii="Aptos" w:hAnsi="Aptos" w:eastAsia="Aptos" w:cs="Aptos"/>
          <w:noProof w:val="0"/>
          <w:color w:val="000000" w:themeColor="text1" w:themeTint="FF" w:themeShade="FF"/>
          <w:sz w:val="20"/>
          <w:szCs w:val="20"/>
          <w:lang w:val="en-US"/>
        </w:rPr>
        <w:t xml:space="preserve">For the core LLM, GRC-LLM uses Claude via the Anthropic API. Claude was selected for its </w:t>
      </w:r>
      <w:r w:rsidRPr="654048B6" w:rsidR="75CDE180">
        <w:rPr>
          <w:rFonts w:ascii="Aptos" w:hAnsi="Aptos" w:eastAsia="Aptos" w:cs="Aptos"/>
          <w:noProof w:val="0"/>
          <w:color w:val="000000" w:themeColor="text1" w:themeTint="FF" w:themeShade="FF"/>
          <w:sz w:val="20"/>
          <w:szCs w:val="20"/>
          <w:lang w:val="en-US"/>
        </w:rPr>
        <w:t>strong performance</w:t>
      </w:r>
      <w:r w:rsidRPr="654048B6" w:rsidR="75CDE180">
        <w:rPr>
          <w:rFonts w:ascii="Aptos" w:hAnsi="Aptos" w:eastAsia="Aptos" w:cs="Aptos"/>
          <w:noProof w:val="0"/>
          <w:color w:val="000000" w:themeColor="text1" w:themeTint="FF" w:themeShade="FF"/>
          <w:sz w:val="20"/>
          <w:szCs w:val="20"/>
          <w:lang w:val="en-US"/>
        </w:rPr>
        <w:t xml:space="preserve"> on structured output generation and its ability to reason over retrieved document passages with high accuracy. For the RAG framework, the system uses a custom pipeline built with </w:t>
      </w:r>
      <w:r w:rsidRPr="654048B6" w:rsidR="75CDE180">
        <w:rPr>
          <w:rFonts w:ascii="Aptos" w:hAnsi="Aptos" w:eastAsia="Aptos" w:cs="Aptos"/>
          <w:noProof w:val="0"/>
          <w:color w:val="000000" w:themeColor="text1" w:themeTint="FF" w:themeShade="FF"/>
          <w:sz w:val="20"/>
          <w:szCs w:val="20"/>
          <w:lang w:val="en-US"/>
        </w:rPr>
        <w:t>ChromaDB</w:t>
      </w:r>
      <w:r w:rsidRPr="654048B6" w:rsidR="75CDE180">
        <w:rPr>
          <w:rFonts w:ascii="Aptos" w:hAnsi="Aptos" w:eastAsia="Aptos" w:cs="Aptos"/>
          <w:noProof w:val="0"/>
          <w:color w:val="000000" w:themeColor="text1" w:themeTint="FF" w:themeShade="FF"/>
          <w:sz w:val="20"/>
          <w:szCs w:val="20"/>
          <w:lang w:val="en-US"/>
        </w:rPr>
        <w:t xml:space="preserve"> as the vector database and sentence-transformers as the embedding model, specifically the all-mpnet-base-v2 model, which was selected for its accuracy on semantic similarity tasks. For the backend, the system is built using </w:t>
      </w:r>
      <w:r w:rsidRPr="654048B6" w:rsidR="75CDE180">
        <w:rPr>
          <w:rFonts w:ascii="Aptos" w:hAnsi="Aptos" w:eastAsia="Aptos" w:cs="Aptos"/>
          <w:noProof w:val="0"/>
          <w:color w:val="000000" w:themeColor="text1" w:themeTint="FF" w:themeShade="FF"/>
          <w:sz w:val="20"/>
          <w:szCs w:val="20"/>
          <w:lang w:val="en-US"/>
        </w:rPr>
        <w:t>FastAPI</w:t>
      </w:r>
      <w:r w:rsidRPr="654048B6" w:rsidR="75CDE180">
        <w:rPr>
          <w:rFonts w:ascii="Aptos" w:hAnsi="Aptos" w:eastAsia="Aptos" w:cs="Aptos"/>
          <w:noProof w:val="0"/>
          <w:color w:val="000000" w:themeColor="text1" w:themeTint="FF" w:themeShade="FF"/>
          <w:sz w:val="20"/>
          <w:szCs w:val="20"/>
          <w:lang w:val="en-US"/>
        </w:rPr>
        <w:t xml:space="preserve"> in Python.</w:t>
      </w:r>
      <w:r w:rsidRPr="654048B6" w:rsidR="088C8E29">
        <w:rPr>
          <w:rFonts w:ascii="Aptos" w:hAnsi="Aptos" w:eastAsia="Aptos" w:cs="Aptos"/>
          <w:noProof w:val="0"/>
          <w:color w:val="000000" w:themeColor="text1" w:themeTint="FF" w:themeShade="FF"/>
          <w:sz w:val="20"/>
          <w:szCs w:val="20"/>
          <w:lang w:val="en-US"/>
        </w:rPr>
        <w:t xml:space="preserve"> </w:t>
      </w:r>
      <w:r w:rsidRPr="654048B6" w:rsidR="088C8E29">
        <w:rPr>
          <w:rFonts w:ascii="Aptos" w:hAnsi="Aptos" w:eastAsia="Aptos" w:cs="Aptos"/>
          <w:noProof w:val="0"/>
          <w:color w:val="000000" w:themeColor="text1" w:themeTint="FF" w:themeShade="FF"/>
          <w:sz w:val="20"/>
          <w:szCs w:val="20"/>
          <w:lang w:val="en-US"/>
        </w:rPr>
        <w:t xml:space="preserve">Supporting frameworks and libraries include </w:t>
      </w:r>
      <w:r w:rsidRPr="654048B6" w:rsidR="088C8E29">
        <w:rPr>
          <w:rFonts w:ascii="Aptos" w:hAnsi="Aptos" w:eastAsia="Aptos" w:cs="Aptos"/>
          <w:noProof w:val="0"/>
          <w:color w:val="000000" w:themeColor="text1" w:themeTint="FF" w:themeShade="FF"/>
          <w:sz w:val="20"/>
          <w:szCs w:val="20"/>
          <w:lang w:val="en-US"/>
        </w:rPr>
        <w:t>PyMuPDF</w:t>
      </w:r>
      <w:r w:rsidRPr="654048B6" w:rsidR="088C8E29">
        <w:rPr>
          <w:rFonts w:ascii="Aptos" w:hAnsi="Aptos" w:eastAsia="Aptos" w:cs="Aptos"/>
          <w:noProof w:val="0"/>
          <w:color w:val="000000" w:themeColor="text1" w:themeTint="FF" w:themeShade="FF"/>
          <w:sz w:val="20"/>
          <w:szCs w:val="20"/>
          <w:lang w:val="en-US"/>
        </w:rPr>
        <w:t xml:space="preserve">, an open-source Python library that extracts text, images, and metadata from PDF documents with high fidelity and speed, making it well suited for processing the varied formatting of real organizational policy documents. </w:t>
      </w:r>
      <w:r w:rsidRPr="654048B6" w:rsidR="088C8E29">
        <w:rPr>
          <w:rFonts w:ascii="Aptos" w:hAnsi="Aptos" w:eastAsia="Aptos" w:cs="Aptos"/>
          <w:noProof w:val="0"/>
          <w:color w:val="000000" w:themeColor="text1" w:themeTint="FF" w:themeShade="FF"/>
          <w:sz w:val="20"/>
          <w:szCs w:val="20"/>
          <w:lang w:val="en-US"/>
        </w:rPr>
        <w:t>PyTorch</w:t>
      </w:r>
      <w:r w:rsidRPr="654048B6" w:rsidR="088C8E29">
        <w:rPr>
          <w:rFonts w:ascii="Aptos" w:hAnsi="Aptos" w:eastAsia="Aptos" w:cs="Aptos"/>
          <w:noProof w:val="0"/>
          <w:color w:val="000000" w:themeColor="text1" w:themeTint="FF" w:themeShade="FF"/>
          <w:sz w:val="20"/>
          <w:szCs w:val="20"/>
          <w:lang w:val="en-US"/>
        </w:rPr>
        <w:t>, an open-source deep learning framework developed by Meta, provides the underlying computational infrastructure for running the sentence-transformers embedding model that converts policy text into vector representations for semantic search.</w:t>
      </w:r>
    </w:p>
    <w:p xmlns:wp14="http://schemas.microsoft.com/office/word/2010/wordml" w:rsidRDefault="00000000" w14:paraId="00000039" wp14:textId="58702D14">
      <w:pPr>
        <w:pStyle w:val="Heading2"/>
      </w:pPr>
      <w:bookmarkStart w:name="_heading=h.rimkw51yex9h" w:id="7"/>
      <w:bookmarkEnd w:id="7"/>
      <w:r w:rsidR="1AC55103">
        <w:rPr/>
        <w:t xml:space="preserve">IV.  Scope and </w:t>
      </w:r>
      <w:r w:rsidR="4E6D9F20">
        <w:rPr/>
        <w:t>L</w:t>
      </w:r>
      <w:r w:rsidR="1AC55103">
        <w:rPr/>
        <w:t>imitations</w:t>
      </w:r>
    </w:p>
    <w:p w:rsidR="646210F5" w:rsidP="5C222896" w:rsidRDefault="646210F5" w14:paraId="4B279AFD" w14:textId="5DC1A4E8">
      <w:pPr>
        <w:jc w:val="both"/>
      </w:pPr>
      <w:r w:rsidRPr="4A7CC396" w:rsidR="3DDA4ADE">
        <w:rPr>
          <w:rFonts w:ascii="Aptos" w:hAnsi="Aptos" w:eastAsia="Aptos" w:cs="Aptos"/>
          <w:noProof w:val="0"/>
          <w:color w:val="000000" w:themeColor="text1" w:themeTint="FF" w:themeShade="FF"/>
          <w:sz w:val="20"/>
          <w:szCs w:val="20"/>
          <w:lang w:val="en-US"/>
        </w:rPr>
        <w:t xml:space="preserve">Several capabilities fall explicitly outside the scope of this proof of concept. GRC-LLM does not assess operational security posture, as activities such as SIEM log analysis, endpoint telemetry review, and penetration testing interpretation </w:t>
      </w:r>
      <w:r w:rsidRPr="4A7CC396" w:rsidR="3DDA4ADE">
        <w:rPr>
          <w:rFonts w:ascii="Aptos" w:hAnsi="Aptos" w:eastAsia="Aptos" w:cs="Aptos"/>
          <w:noProof w:val="0"/>
          <w:color w:val="000000" w:themeColor="text1" w:themeTint="FF" w:themeShade="FF"/>
          <w:sz w:val="20"/>
          <w:szCs w:val="20"/>
          <w:lang w:val="en-US"/>
        </w:rPr>
        <w:t>remain</w:t>
      </w:r>
      <w:r w:rsidRPr="4A7CC396" w:rsidR="3DDA4ADE">
        <w:rPr>
          <w:rFonts w:ascii="Aptos" w:hAnsi="Aptos" w:eastAsia="Aptos" w:cs="Aptos"/>
          <w:noProof w:val="0"/>
          <w:color w:val="000000" w:themeColor="text1" w:themeTint="FF" w:themeShade="FF"/>
          <w:sz w:val="20"/>
          <w:szCs w:val="20"/>
          <w:lang w:val="en-US"/>
        </w:rPr>
        <w:t xml:space="preserve"> the domain of human-led processes. Well-written policies are necessary but not sufficient evidence of maturity, and the quality of the </w:t>
      </w:r>
      <w:r w:rsidRPr="4A7CC396" w:rsidR="3DDA4ADE">
        <w:rPr>
          <w:rFonts w:ascii="Aptos" w:hAnsi="Aptos" w:eastAsia="Aptos" w:cs="Aptos"/>
          <w:noProof w:val="0"/>
          <w:color w:val="000000" w:themeColor="text1" w:themeTint="FF" w:themeShade="FF"/>
          <w:sz w:val="20"/>
          <w:szCs w:val="20"/>
          <w:lang w:val="en-US"/>
        </w:rPr>
        <w:t>system's</w:t>
      </w:r>
      <w:r w:rsidRPr="4A7CC396" w:rsidR="3DDA4ADE">
        <w:rPr>
          <w:rFonts w:ascii="Aptos" w:hAnsi="Aptos" w:eastAsia="Aptos" w:cs="Aptos"/>
          <w:noProof w:val="0"/>
          <w:color w:val="000000" w:themeColor="text1" w:themeTint="FF" w:themeShade="FF"/>
          <w:sz w:val="20"/>
          <w:szCs w:val="20"/>
          <w:lang w:val="en-US"/>
        </w:rPr>
        <w:t xml:space="preserve"> output is directly dependent on the quality of the submitted policy documents. Outdated, incomplete, or poorly structured policy documents will produce assessments that reflect those limitations regardless of the system's technical performance. The tool likewise does not support real-time or continuous monitoring, producing point-in-time assessments only. Outputs are advisory and do not constitute legal or regulatory compliance certification. </w:t>
      </w:r>
      <w:r w:rsidRPr="4A7CC396" w:rsidR="02F7AD11">
        <w:rPr>
          <w:rFonts w:ascii="Aptos" w:hAnsi="Aptos" w:eastAsia="Aptos" w:cs="Aptos"/>
          <w:noProof w:val="0"/>
          <w:color w:val="000000" w:themeColor="text1" w:themeTint="FF" w:themeShade="FF"/>
          <w:sz w:val="20"/>
          <w:szCs w:val="20"/>
          <w:lang w:val="en-US"/>
        </w:rPr>
        <w:t xml:space="preserve">The system is not </w:t>
      </w:r>
      <w:r w:rsidRPr="4A7CC396" w:rsidR="02F7AD11">
        <w:rPr>
          <w:rFonts w:ascii="Aptos" w:hAnsi="Aptos" w:eastAsia="Aptos" w:cs="Aptos"/>
          <w:noProof w:val="0"/>
          <w:color w:val="000000" w:themeColor="text1" w:themeTint="FF" w:themeShade="FF"/>
          <w:sz w:val="20"/>
          <w:szCs w:val="20"/>
          <w:lang w:val="en-US"/>
        </w:rPr>
        <w:t>designed to process classified or highly sensitive organizational data. The deterministic hallucination audit described in Results and Evaluation is similarly bounded: because the DeBERTa-v3 NLI cross-encoder used for entailment checking has a limited input window, its calculations were run against only the first 1,500 characters of each source document rather than the complete text, meaning the audit's findings reflect a partial rather than exhaustive check of document-wide grounding.</w:t>
      </w:r>
    </w:p>
    <w:p xmlns:wp14="http://schemas.microsoft.com/office/word/2010/wordml" w:rsidRDefault="00000000" w14:paraId="0000003B" wp14:textId="552CD699">
      <w:pPr>
        <w:pStyle w:val="Heading2"/>
      </w:pPr>
      <w:bookmarkStart w:name="_heading=h.tl63o026h2am" w:id="8"/>
      <w:bookmarkEnd w:id="8"/>
      <w:r w:rsidR="1AC55103">
        <w:rPr/>
        <w:t xml:space="preserve">V.  </w:t>
      </w:r>
      <w:r w:rsidR="7B73F9CF">
        <w:rPr/>
        <w:t>Evaluation Scope</w:t>
      </w:r>
    </w:p>
    <w:p w:rsidR="0591181E" w:rsidP="4A7CC396" w:rsidRDefault="0591181E" w14:paraId="32C20C0A" w14:textId="747F2DE4">
      <w:pPr>
        <w:pStyle w:val="Normal"/>
        <w:jc w:val="both"/>
        <w:rPr>
          <w:rFonts w:ascii="Aptos" w:hAnsi="Aptos" w:eastAsia="Aptos" w:cs="Aptos"/>
          <w:noProof w:val="0"/>
          <w:sz w:val="20"/>
          <w:szCs w:val="20"/>
          <w:lang w:val="en-US"/>
        </w:rPr>
      </w:pPr>
      <w:r w:rsidRPr="4A7CC396" w:rsidR="0591181E">
        <w:rPr>
          <w:rFonts w:ascii="Aptos" w:hAnsi="Aptos" w:eastAsia="Aptos" w:cs="Aptos"/>
          <w:noProof w:val="0"/>
          <w:sz w:val="20"/>
          <w:szCs w:val="20"/>
          <w:lang w:val="en-US"/>
        </w:rPr>
        <w:t>The current evaluation focuses on model output quality and evidence alignment across six dimensions: Faithfulness, Evidence Relevance, Score Consistency, Gap Completeness, Recommendation Quality, and Evidence Groundedness. Efficiency, including time reduction relative to manual assessment, was not measured in the present experiment and remains a subject for future evaluation.</w:t>
      </w:r>
    </w:p>
    <w:p w:rsidR="61F9B131" w:rsidP="4C15D6E0" w:rsidRDefault="61F9B131" w14:paraId="74DFC910" w14:textId="18FF7EEE">
      <w:pPr>
        <w:pStyle w:val="Heading1"/>
        <w:keepNext w:val="1"/>
        <w:keepLines w:val="1"/>
        <w:spacing w:before="240" w:after="120"/>
        <w:jc w:val="center"/>
        <w:rPr>
          <w:rFonts w:ascii="Times New Roman" w:hAnsi="Times New Roman" w:eastAsia="Times New Roman" w:cs="Times New Roman"/>
          <w:smallCaps w:val="1"/>
          <w:noProof w:val="0"/>
          <w:sz w:val="20"/>
          <w:szCs w:val="20"/>
          <w:lang w:val="en-US"/>
        </w:rPr>
      </w:pPr>
      <w:r w:rsidRPr="4C15D6E0" w:rsidR="61F9B131">
        <w:rPr>
          <w:rFonts w:ascii="Times New Roman" w:hAnsi="Times New Roman" w:eastAsia="Times New Roman" w:cs="Times New Roman"/>
          <w:smallCaps w:val="1"/>
          <w:noProof w:val="0"/>
          <w:sz w:val="20"/>
          <w:szCs w:val="20"/>
          <w:lang w:val="en"/>
        </w:rPr>
        <w:t>Results and Evaluation</w:t>
      </w:r>
    </w:p>
    <w:p w:rsidR="61F9B131" w:rsidP="4C15D6E0" w:rsidRDefault="61F9B131" w14:paraId="65D4FF14" w14:textId="09309A4B">
      <w:pPr>
        <w:pStyle w:val="Heading2"/>
        <w:keepNext w:val="1"/>
        <w:keepLines w:val="1"/>
        <w:spacing w:before="180" w:after="60"/>
        <w:rPr>
          <w:rFonts w:ascii="Times New Roman" w:hAnsi="Times New Roman" w:eastAsia="Times New Roman" w:cs="Times New Roman"/>
          <w:i w:val="1"/>
          <w:iCs w:val="1"/>
          <w:noProof w:val="0"/>
          <w:sz w:val="20"/>
          <w:szCs w:val="20"/>
          <w:lang w:val="en-US"/>
        </w:rPr>
      </w:pPr>
      <w:r w:rsidRPr="4A7CC396" w:rsidR="61F9B131">
        <w:rPr>
          <w:rFonts w:ascii="Times New Roman" w:hAnsi="Times New Roman" w:eastAsia="Times New Roman" w:cs="Times New Roman"/>
          <w:i w:val="1"/>
          <w:iCs w:val="1"/>
          <w:noProof w:val="0"/>
          <w:sz w:val="20"/>
          <w:szCs w:val="20"/>
          <w:lang w:val="en"/>
        </w:rPr>
        <w:t>I.  Evaluation Framework</w:t>
      </w:r>
    </w:p>
    <w:p w:rsidR="796B864C" w:rsidP="4A7CC396" w:rsidRDefault="796B864C" w14:paraId="21716488" w14:textId="5F0A8FB5">
      <w:pPr>
        <w:jc w:val="both"/>
      </w:pPr>
      <w:r w:rsidRPr="4A7CC396" w:rsidR="796B864C">
        <w:rPr>
          <w:rFonts w:ascii="Aptos" w:hAnsi="Aptos" w:eastAsia="Aptos" w:cs="Aptos"/>
          <w:noProof w:val="0"/>
          <w:color w:val="000000" w:themeColor="text1" w:themeTint="FF" w:themeShade="FF"/>
          <w:sz w:val="20"/>
          <w:szCs w:val="20"/>
          <w:lang w:val="en-US"/>
        </w:rPr>
        <w:t>To evaluate the performance and output quality of GRC-LLM, a three-stage evaluation process was developed to examine individual outputs across nine frameworks using two real organizational policy documents: the Scott and Scott Written Information Security Policy, representing a private sector document, and the U.S. Department of Education security policy, representing a government sector document. The evaluation was repeated using three separate LLMs as the model base: Claude, GPT-4.1, and Llama 4 Maverick. Claude-sonnet-4-6 was used as the LLM judge across all runs, a distinct model instance from the Claude version used as a base LLM, meaning a separate Claude judge evaluated the outputs generated by all three models, including Claude's own, to maintain a consistent evaluation baseline.</w:t>
      </w:r>
    </w:p>
    <w:p w:rsidR="61F9B131" w:rsidP="4C15D6E0" w:rsidRDefault="61F9B131" w14:paraId="379CF763" w14:textId="25A74AA9">
      <w:pPr>
        <w:pStyle w:val="Heading2"/>
        <w:keepNext w:val="1"/>
        <w:keepLines w:val="1"/>
        <w:spacing w:before="180" w:after="60"/>
        <w:rPr>
          <w:rFonts w:ascii="Times New Roman" w:hAnsi="Times New Roman" w:eastAsia="Times New Roman" w:cs="Times New Roman"/>
          <w:i w:val="1"/>
          <w:iCs w:val="1"/>
          <w:noProof w:val="0"/>
          <w:sz w:val="20"/>
          <w:szCs w:val="20"/>
          <w:lang w:val="en-US"/>
        </w:rPr>
      </w:pPr>
      <w:r w:rsidRPr="4C15D6E0" w:rsidR="61F9B131">
        <w:rPr>
          <w:rFonts w:ascii="Times New Roman" w:hAnsi="Times New Roman" w:eastAsia="Times New Roman" w:cs="Times New Roman"/>
          <w:i w:val="1"/>
          <w:iCs w:val="1"/>
          <w:noProof w:val="0"/>
          <w:sz w:val="20"/>
          <w:szCs w:val="20"/>
          <w:lang w:val="en"/>
        </w:rPr>
        <w:t>II.  Evaluation Stages</w:t>
      </w:r>
    </w:p>
    <w:p w:rsidR="61F9B131" w:rsidP="4C15D6E0" w:rsidRDefault="61F9B131" w14:paraId="3DDACA61" w14:textId="6E8969F7">
      <w:pPr>
        <w:spacing w:before="0" w:beforeAutospacing="off" w:after="0" w:afterAutospacing="off"/>
        <w:jc w:val="both"/>
        <w:rPr>
          <w:rFonts w:ascii="Aptos" w:hAnsi="Aptos" w:eastAsia="Aptos" w:cs="Aptos"/>
          <w:noProof w:val="0"/>
          <w:color w:val="000000" w:themeColor="text1" w:themeTint="FF" w:themeShade="FF"/>
          <w:sz w:val="20"/>
          <w:szCs w:val="20"/>
          <w:lang w:val="en-US"/>
        </w:rPr>
      </w:pPr>
      <w:r w:rsidRPr="4C15D6E0" w:rsidR="61F9B131">
        <w:rPr>
          <w:rFonts w:ascii="Aptos" w:hAnsi="Aptos" w:eastAsia="Aptos" w:cs="Aptos"/>
          <w:noProof w:val="0"/>
          <w:color w:val="000000" w:themeColor="text1" w:themeTint="FF" w:themeShade="FF"/>
          <w:sz w:val="20"/>
          <w:szCs w:val="20"/>
          <w:lang w:val="en"/>
        </w:rPr>
        <w:t>The evaluation pipeline consists of three stages.</w:t>
      </w:r>
    </w:p>
    <w:p w:rsidR="61F9B131" w:rsidP="4C15D6E0" w:rsidRDefault="61F9B131" w14:paraId="691C21C4" w14:textId="7FF9E451">
      <w:pPr>
        <w:spacing w:before="0" w:beforeAutospacing="off" w:after="0" w:afterAutospacing="off"/>
        <w:jc w:val="both"/>
        <w:rPr>
          <w:rFonts w:ascii="Aptos" w:hAnsi="Aptos" w:eastAsia="Aptos" w:cs="Aptos"/>
          <w:noProof w:val="0"/>
          <w:color w:val="000000" w:themeColor="text1" w:themeTint="FF" w:themeShade="FF"/>
          <w:sz w:val="20"/>
          <w:szCs w:val="20"/>
          <w:lang w:val="en-US"/>
        </w:rPr>
      </w:pPr>
      <w:r w:rsidRPr="4C15D6E0" w:rsidR="61F9B131">
        <w:rPr>
          <w:rFonts w:ascii="Aptos" w:hAnsi="Aptos" w:eastAsia="Aptos" w:cs="Aptos"/>
          <w:noProof w:val="0"/>
          <w:color w:val="000000" w:themeColor="text1" w:themeTint="FF" w:themeShade="FF"/>
          <w:sz w:val="20"/>
          <w:szCs w:val="20"/>
          <w:lang w:val="en-US"/>
        </w:rPr>
        <w:t>Stage 1 is individual testing. One document and a single framework are run through GRC-LLM using a selected base LLM. This is repeated nine times per document, once per framework, for each of the three base LLMs. The resulting GRC reports are then individually evaluated by the LLM judge, which is supplied with the original document text alongside each control's rationale, evidence, gaps, and maturity rating. Source document parsing uses PyMuPDF to extract the complete raw text from the original paper PDF, establishing the ground-truth document context. The judge concurrently evaluates every control in the GRC JSON file via the Anthropic API. To prevent the judge from hallucinating on citation checks, a deterministic sliding-window fuzzy string matcher using Python's difflib.SequenceMatcher is used to verify whether cited evidence quotes actually appear in the source document.</w:t>
      </w:r>
    </w:p>
    <w:p w:rsidR="61F9B131" w:rsidP="4C15D6E0" w:rsidRDefault="61F9B131" w14:paraId="290993DE" w14:textId="4D3A836B">
      <w:pPr>
        <w:spacing w:before="0" w:beforeAutospacing="off" w:after="0" w:afterAutospacing="off"/>
        <w:jc w:val="both"/>
        <w:rPr>
          <w:rFonts w:ascii="Aptos" w:hAnsi="Aptos" w:eastAsia="Aptos" w:cs="Aptos"/>
          <w:noProof w:val="0"/>
          <w:color w:val="000000" w:themeColor="text1" w:themeTint="FF" w:themeShade="FF"/>
          <w:sz w:val="20"/>
          <w:szCs w:val="20"/>
          <w:lang w:val="en-US"/>
        </w:rPr>
      </w:pPr>
      <w:r w:rsidRPr="4C15D6E0" w:rsidR="61F9B131">
        <w:rPr>
          <w:rFonts w:ascii="Aptos" w:hAnsi="Aptos" w:eastAsia="Aptos" w:cs="Aptos"/>
          <w:noProof w:val="0"/>
          <w:color w:val="000000" w:themeColor="text1" w:themeTint="FF" w:themeShade="FF"/>
          <w:sz w:val="20"/>
          <w:szCs w:val="20"/>
          <w:lang w:val="en-US"/>
        </w:rPr>
        <w:t xml:space="preserve">Stage 2 is </w:t>
      </w:r>
      <w:r w:rsidRPr="4C15D6E0" w:rsidR="61F9B131">
        <w:rPr>
          <w:rFonts w:ascii="Aptos" w:hAnsi="Aptos" w:eastAsia="Aptos" w:cs="Aptos"/>
          <w:noProof w:val="0"/>
          <w:color w:val="000000" w:themeColor="text1" w:themeTint="FF" w:themeShade="FF"/>
          <w:sz w:val="20"/>
          <w:szCs w:val="20"/>
          <w:lang w:val="en-US"/>
        </w:rPr>
        <w:t>flat</w:t>
      </w:r>
      <w:r w:rsidRPr="4C15D6E0" w:rsidR="61F9B131">
        <w:rPr>
          <w:rFonts w:ascii="Aptos" w:hAnsi="Aptos" w:eastAsia="Aptos" w:cs="Aptos"/>
          <w:noProof w:val="0"/>
          <w:color w:val="000000" w:themeColor="text1" w:themeTint="FF" w:themeShade="FF"/>
          <w:sz w:val="20"/>
          <w:szCs w:val="20"/>
          <w:lang w:val="en-US"/>
        </w:rPr>
        <w:t xml:space="preserve"> population consolidation. The pipeline recursively scans all Stage 1 evaluation outputs and aggregates control-level metrics across the entire population to generate descriptive statistics including means, medians, standard deviations, and failure percentages. Graphs and visualizations are generated using </w:t>
      </w:r>
      <w:r w:rsidRPr="4C15D6E0" w:rsidR="61F9B131">
        <w:rPr>
          <w:rFonts w:ascii="Aptos" w:hAnsi="Aptos" w:eastAsia="Aptos" w:cs="Aptos"/>
          <w:noProof w:val="0"/>
          <w:color w:val="000000" w:themeColor="text1" w:themeTint="FF" w:themeShade="FF"/>
          <w:sz w:val="20"/>
          <w:szCs w:val="20"/>
          <w:lang w:val="en-US"/>
        </w:rPr>
        <w:t>matplotlib</w:t>
      </w:r>
      <w:r w:rsidRPr="4C15D6E0" w:rsidR="61F9B131">
        <w:rPr>
          <w:rFonts w:ascii="Aptos" w:hAnsi="Aptos" w:eastAsia="Aptos" w:cs="Aptos"/>
          <w:noProof w:val="0"/>
          <w:color w:val="000000" w:themeColor="text1" w:themeTint="FF" w:themeShade="FF"/>
          <w:sz w:val="20"/>
          <w:szCs w:val="20"/>
          <w:lang w:val="en-US"/>
        </w:rPr>
        <w:t xml:space="preserve"> and a narrative executive report is synthesized by the judge model. The following visualizations are generated: an Overall RAG Quality Score Bar Chart displaying macro quality comparisons across models, a Six-Dimension Averages Bar Chart showing population averages across all six metrics, a RAG Quality Profile Radar Chart illustrating system strengths and dimensional balance, Weak Dimension Histograms tracking score variance for low-performing dimensions, and a Maturity Score Distribution Histogram </w:t>
      </w:r>
      <w:r w:rsidRPr="4C15D6E0" w:rsidR="61F9B131">
        <w:rPr>
          <w:rFonts w:ascii="Aptos" w:hAnsi="Aptos" w:eastAsia="Aptos" w:cs="Aptos"/>
          <w:noProof w:val="0"/>
          <w:color w:val="000000" w:themeColor="text1" w:themeTint="FF" w:themeShade="FF"/>
          <w:sz w:val="20"/>
          <w:szCs w:val="20"/>
          <w:lang w:val="en-US"/>
        </w:rPr>
        <w:t xml:space="preserve">mapping </w:t>
      </w:r>
      <w:r w:rsidRPr="4C15D6E0" w:rsidR="26B06CD1">
        <w:rPr>
          <w:rFonts w:ascii="Aptos" w:hAnsi="Aptos" w:eastAsia="Aptos" w:cs="Aptos"/>
          <w:noProof w:val="0"/>
          <w:color w:val="000000" w:themeColor="text1" w:themeTint="FF" w:themeShade="FF"/>
          <w:sz w:val="20"/>
          <w:szCs w:val="20"/>
          <w:lang w:val="en-US"/>
        </w:rPr>
        <w:t>the frequency</w:t>
      </w:r>
      <w:r w:rsidRPr="4C15D6E0" w:rsidR="61F9B131">
        <w:rPr>
          <w:rFonts w:ascii="Aptos" w:hAnsi="Aptos" w:eastAsia="Aptos" w:cs="Aptos"/>
          <w:noProof w:val="0"/>
          <w:color w:val="000000" w:themeColor="text1" w:themeTint="FF" w:themeShade="FF"/>
          <w:sz w:val="20"/>
          <w:szCs w:val="20"/>
          <w:lang w:val="en-US"/>
        </w:rPr>
        <w:t xml:space="preserve"> of assigned maturity ratings.</w:t>
      </w:r>
    </w:p>
    <w:p w:rsidR="61F9B131" w:rsidP="4C15D6E0" w:rsidRDefault="61F9B131" w14:paraId="4A8761D8" w14:textId="127A4FC6">
      <w:pPr>
        <w:spacing w:before="0" w:beforeAutospacing="off" w:after="0" w:afterAutospacing="off"/>
        <w:jc w:val="both"/>
        <w:rPr>
          <w:rFonts w:ascii="Aptos" w:hAnsi="Aptos" w:eastAsia="Aptos" w:cs="Aptos"/>
          <w:noProof w:val="0"/>
          <w:color w:val="000000" w:themeColor="text1" w:themeTint="FF" w:themeShade="FF"/>
          <w:sz w:val="20"/>
          <w:szCs w:val="20"/>
          <w:lang w:val="en-US"/>
        </w:rPr>
      </w:pPr>
      <w:r w:rsidRPr="4C15D6E0" w:rsidR="61F9B131">
        <w:rPr>
          <w:rFonts w:ascii="Aptos" w:hAnsi="Aptos" w:eastAsia="Aptos" w:cs="Aptos"/>
          <w:noProof w:val="0"/>
          <w:color w:val="000000" w:themeColor="text1" w:themeTint="FF" w:themeShade="FF"/>
          <w:sz w:val="20"/>
          <w:szCs w:val="20"/>
          <w:lang w:val="en-US"/>
        </w:rPr>
        <w:t>Stage 3 is the presentation layer. The population means and raw score distributions finalized in Stage 2 are presented in a Master Evaluation Matrix, radar charts, performance histograms, and maturity bar charts. No new mathematical operations are performed at this stage.</w:t>
      </w:r>
    </w:p>
    <w:p w:rsidR="61F9B131" w:rsidP="4C15D6E0" w:rsidRDefault="61F9B131" w14:paraId="2EE7FFDE" w14:textId="6BDA5B61">
      <w:pPr>
        <w:pStyle w:val="Heading2"/>
        <w:keepNext w:val="1"/>
        <w:keepLines w:val="1"/>
        <w:spacing w:before="180" w:after="60"/>
        <w:rPr>
          <w:rFonts w:ascii="Times New Roman" w:hAnsi="Times New Roman" w:eastAsia="Times New Roman" w:cs="Times New Roman"/>
          <w:i w:val="1"/>
          <w:iCs w:val="1"/>
          <w:noProof w:val="0"/>
          <w:sz w:val="20"/>
          <w:szCs w:val="20"/>
          <w:lang w:val="en-US"/>
        </w:rPr>
      </w:pPr>
      <w:r w:rsidRPr="4C15D6E0" w:rsidR="61F9B131">
        <w:rPr>
          <w:rFonts w:ascii="Times New Roman" w:hAnsi="Times New Roman" w:eastAsia="Times New Roman" w:cs="Times New Roman"/>
          <w:i w:val="1"/>
          <w:iCs w:val="1"/>
          <w:noProof w:val="0"/>
          <w:sz w:val="20"/>
          <w:szCs w:val="20"/>
          <w:lang w:val="en"/>
        </w:rPr>
        <w:t>III.  Evaluation Metrics</w:t>
      </w:r>
    </w:p>
    <w:p w:rsidR="61F9B131" w:rsidP="4C15D6E0" w:rsidRDefault="61F9B131" w14:paraId="0B33710D" w14:textId="6EB242AA">
      <w:pPr>
        <w:jc w:val="both"/>
        <w:rPr>
          <w:rFonts w:ascii="Aptos" w:hAnsi="Aptos" w:eastAsia="Aptos" w:cs="Aptos"/>
          <w:noProof w:val="0"/>
          <w:color w:val="000000" w:themeColor="text1" w:themeTint="FF" w:themeShade="FF"/>
          <w:sz w:val="20"/>
          <w:szCs w:val="20"/>
          <w:lang w:val="en-US"/>
        </w:rPr>
      </w:pPr>
      <w:r w:rsidRPr="4C15D6E0" w:rsidR="61F9B131">
        <w:rPr>
          <w:rFonts w:ascii="Aptos" w:hAnsi="Aptos" w:eastAsia="Aptos" w:cs="Aptos"/>
          <w:noProof w:val="0"/>
          <w:color w:val="000000" w:themeColor="text1" w:themeTint="FF" w:themeShade="FF"/>
          <w:sz w:val="20"/>
          <w:szCs w:val="20"/>
          <w:lang w:val="en-US"/>
        </w:rPr>
        <w:t xml:space="preserve">Six metrics are collected per </w:t>
      </w:r>
      <w:r w:rsidRPr="4C15D6E0" w:rsidR="61F9B131">
        <w:rPr>
          <w:rFonts w:ascii="Aptos" w:hAnsi="Aptos" w:eastAsia="Aptos" w:cs="Aptos"/>
          <w:noProof w:val="0"/>
          <w:color w:val="000000" w:themeColor="text1" w:themeTint="FF" w:themeShade="FF"/>
          <w:sz w:val="20"/>
          <w:szCs w:val="20"/>
          <w:lang w:val="en-US"/>
        </w:rPr>
        <w:t>control</w:t>
      </w:r>
      <w:r w:rsidRPr="4C15D6E0" w:rsidR="61F9B131">
        <w:rPr>
          <w:rFonts w:ascii="Aptos" w:hAnsi="Aptos" w:eastAsia="Aptos" w:cs="Aptos"/>
          <w:noProof w:val="0"/>
          <w:color w:val="000000" w:themeColor="text1" w:themeTint="FF" w:themeShade="FF"/>
          <w:sz w:val="20"/>
          <w:szCs w:val="20"/>
          <w:lang w:val="en-US"/>
        </w:rPr>
        <w:t xml:space="preserve">. Faithfulness (0.00 to 1.00) measures whether claims in the score rationale and </w:t>
      </w:r>
      <w:r w:rsidRPr="4C15D6E0" w:rsidR="61F9B131">
        <w:rPr>
          <w:rFonts w:ascii="Aptos" w:hAnsi="Aptos" w:eastAsia="Aptos" w:cs="Aptos"/>
          <w:noProof w:val="0"/>
          <w:color w:val="000000" w:themeColor="text1" w:themeTint="FF" w:themeShade="FF"/>
          <w:sz w:val="20"/>
          <w:szCs w:val="20"/>
          <w:lang w:val="en-US"/>
        </w:rPr>
        <w:t>identified</w:t>
      </w:r>
      <w:r w:rsidRPr="4C15D6E0" w:rsidR="61F9B131">
        <w:rPr>
          <w:rFonts w:ascii="Aptos" w:hAnsi="Aptos" w:eastAsia="Aptos" w:cs="Aptos"/>
          <w:noProof w:val="0"/>
          <w:color w:val="000000" w:themeColor="text1" w:themeTint="FF" w:themeShade="FF"/>
          <w:sz w:val="20"/>
          <w:szCs w:val="20"/>
          <w:lang w:val="en-US"/>
        </w:rPr>
        <w:t xml:space="preserve"> gaps derive strictly from the cited evidence, penalizing ungrounded assertions or internal contradictions. Evidence Relevance (0.00 to 1.00) measures </w:t>
      </w:r>
      <w:r w:rsidRPr="4C15D6E0" w:rsidR="61F9B131">
        <w:rPr>
          <w:rFonts w:ascii="Aptos" w:hAnsi="Aptos" w:eastAsia="Aptos" w:cs="Aptos"/>
          <w:noProof w:val="0"/>
          <w:color w:val="000000" w:themeColor="text1" w:themeTint="FF" w:themeShade="FF"/>
          <w:sz w:val="20"/>
          <w:szCs w:val="20"/>
          <w:lang w:val="en-US"/>
        </w:rPr>
        <w:t xml:space="preserve">how directly </w:t>
      </w:r>
      <w:r w:rsidRPr="4C15D6E0" w:rsidR="4351ABDD">
        <w:rPr>
          <w:rFonts w:ascii="Aptos" w:hAnsi="Aptos" w:eastAsia="Aptos" w:cs="Aptos"/>
          <w:noProof w:val="0"/>
          <w:color w:val="000000" w:themeColor="text1" w:themeTint="FF" w:themeShade="FF"/>
          <w:sz w:val="20"/>
          <w:szCs w:val="20"/>
          <w:lang w:val="en-US"/>
        </w:rPr>
        <w:t>the cited</w:t>
      </w:r>
      <w:r w:rsidRPr="4C15D6E0" w:rsidR="61F9B131">
        <w:rPr>
          <w:rFonts w:ascii="Aptos" w:hAnsi="Aptos" w:eastAsia="Aptos" w:cs="Aptos"/>
          <w:noProof w:val="0"/>
          <w:color w:val="000000" w:themeColor="text1" w:themeTint="FF" w:themeShade="FF"/>
          <w:sz w:val="20"/>
          <w:szCs w:val="20"/>
          <w:lang w:val="en-US"/>
        </w:rPr>
        <w:t xml:space="preserve"> policy excerpts address the specific control requirement, penalizing generic or off-topic context. Score Consistency (0.00 to 1.00) evaluates whether the assigned maturity score is logically justified by the </w:t>
      </w:r>
      <w:r w:rsidRPr="4C15D6E0" w:rsidR="61F9B131">
        <w:rPr>
          <w:rFonts w:ascii="Aptos" w:hAnsi="Aptos" w:eastAsia="Aptos" w:cs="Aptos"/>
          <w:noProof w:val="0"/>
          <w:color w:val="000000" w:themeColor="text1" w:themeTint="FF" w:themeShade="FF"/>
          <w:sz w:val="20"/>
          <w:szCs w:val="20"/>
          <w:lang w:val="en-US"/>
        </w:rPr>
        <w:t>evidence</w:t>
      </w:r>
      <w:r w:rsidRPr="4C15D6E0" w:rsidR="61F9B131">
        <w:rPr>
          <w:rFonts w:ascii="Aptos" w:hAnsi="Aptos" w:eastAsia="Aptos" w:cs="Aptos"/>
          <w:noProof w:val="0"/>
          <w:color w:val="000000" w:themeColor="text1" w:themeTint="FF" w:themeShade="FF"/>
          <w:sz w:val="20"/>
          <w:szCs w:val="20"/>
          <w:lang w:val="en-US"/>
        </w:rPr>
        <w:t xml:space="preserve"> strength and identified gaps. Gap Completeness (0.00 to 1.00) assesses whether </w:t>
      </w:r>
      <w:r w:rsidRPr="4C15D6E0" w:rsidR="61F9B131">
        <w:rPr>
          <w:rFonts w:ascii="Aptos" w:hAnsi="Aptos" w:eastAsia="Aptos" w:cs="Aptos"/>
          <w:noProof w:val="0"/>
          <w:color w:val="000000" w:themeColor="text1" w:themeTint="FF" w:themeShade="FF"/>
          <w:sz w:val="20"/>
          <w:szCs w:val="20"/>
          <w:lang w:val="en-US"/>
        </w:rPr>
        <w:t>identified</w:t>
      </w:r>
      <w:r w:rsidRPr="4C15D6E0" w:rsidR="61F9B131">
        <w:rPr>
          <w:rFonts w:ascii="Aptos" w:hAnsi="Aptos" w:eastAsia="Aptos" w:cs="Aptos"/>
          <w:noProof w:val="0"/>
          <w:color w:val="000000" w:themeColor="text1" w:themeTint="FF" w:themeShade="FF"/>
          <w:sz w:val="20"/>
          <w:szCs w:val="20"/>
          <w:lang w:val="en-US"/>
        </w:rPr>
        <w:t xml:space="preserve"> gaps accurately and comprehensively capture missing control requirements. Recommendation Quality (0.00 to 1.00) measures whether recommendations are specific, actionable, and directly targeted at resolving identified gaps. Evidence </w:t>
      </w:r>
      <w:r w:rsidRPr="4C15D6E0" w:rsidR="61F9B131">
        <w:rPr>
          <w:rFonts w:ascii="Aptos" w:hAnsi="Aptos" w:eastAsia="Aptos" w:cs="Aptos"/>
          <w:noProof w:val="0"/>
          <w:color w:val="000000" w:themeColor="text1" w:themeTint="FF" w:themeShade="FF"/>
          <w:sz w:val="20"/>
          <w:szCs w:val="20"/>
          <w:lang w:val="en-US"/>
        </w:rPr>
        <w:t>Groundedness</w:t>
      </w:r>
      <w:r w:rsidRPr="4C15D6E0" w:rsidR="61F9B131">
        <w:rPr>
          <w:rFonts w:ascii="Aptos" w:hAnsi="Aptos" w:eastAsia="Aptos" w:cs="Aptos"/>
          <w:noProof w:val="0"/>
          <w:color w:val="000000" w:themeColor="text1" w:themeTint="FF" w:themeShade="FF"/>
          <w:sz w:val="20"/>
          <w:szCs w:val="20"/>
          <w:lang w:val="en-US"/>
        </w:rPr>
        <w:t xml:space="preserve"> (0.00 to 1.00) is a deterministic, non-LLM score generated by the </w:t>
      </w:r>
      <w:r w:rsidRPr="4C15D6E0" w:rsidR="61F9B131">
        <w:rPr>
          <w:rFonts w:ascii="Aptos" w:hAnsi="Aptos" w:eastAsia="Aptos" w:cs="Aptos"/>
          <w:noProof w:val="0"/>
          <w:color w:val="000000" w:themeColor="text1" w:themeTint="FF" w:themeShade="FF"/>
          <w:sz w:val="20"/>
          <w:szCs w:val="20"/>
          <w:lang w:val="en-US"/>
        </w:rPr>
        <w:t>difflib</w:t>
      </w:r>
      <w:r w:rsidRPr="4C15D6E0" w:rsidR="61F9B131">
        <w:rPr>
          <w:rFonts w:ascii="Aptos" w:hAnsi="Aptos" w:eastAsia="Aptos" w:cs="Aptos"/>
          <w:noProof w:val="0"/>
          <w:color w:val="000000" w:themeColor="text1" w:themeTint="FF" w:themeShade="FF"/>
          <w:sz w:val="20"/>
          <w:szCs w:val="20"/>
          <w:lang w:val="en-US"/>
        </w:rPr>
        <w:t xml:space="preserve"> code execution step to verify whether cited evidence quotes actually exist in the source document.</w:t>
      </w:r>
    </w:p>
    <w:p w:rsidR="61F9B131" w:rsidP="4C15D6E0" w:rsidRDefault="61F9B131" w14:paraId="5DD7657B" w14:textId="690B17E0">
      <w:pPr>
        <w:pStyle w:val="Heading2"/>
        <w:keepNext w:val="1"/>
        <w:keepLines w:val="1"/>
        <w:spacing w:before="180" w:after="60"/>
        <w:rPr>
          <w:rFonts w:ascii="Times New Roman" w:hAnsi="Times New Roman" w:eastAsia="Times New Roman" w:cs="Times New Roman"/>
          <w:i w:val="1"/>
          <w:iCs w:val="1"/>
          <w:noProof w:val="0"/>
          <w:sz w:val="20"/>
          <w:szCs w:val="20"/>
          <w:lang w:val="en-US"/>
        </w:rPr>
      </w:pPr>
      <w:r w:rsidRPr="4A7CC396" w:rsidR="61F9B131">
        <w:rPr>
          <w:rFonts w:ascii="Times New Roman" w:hAnsi="Times New Roman" w:eastAsia="Times New Roman" w:cs="Times New Roman"/>
          <w:i w:val="1"/>
          <w:iCs w:val="1"/>
          <w:noProof w:val="0"/>
          <w:sz w:val="20"/>
          <w:szCs w:val="20"/>
          <w:lang w:val="en"/>
        </w:rPr>
        <w:t>IV.  Evaluation Matrix</w:t>
      </w:r>
    </w:p>
    <w:p w:rsidR="618619C3" w:rsidP="4A7CC396" w:rsidRDefault="618619C3" w14:paraId="7AAEB92F" w14:textId="69EAFD7B">
      <w:pPr>
        <w:jc w:val="both"/>
      </w:pPr>
      <w:r w:rsidRPr="4A7CC396" w:rsidR="618619C3">
        <w:rPr>
          <w:rFonts w:ascii="Aptos" w:hAnsi="Aptos" w:eastAsia="Aptos" w:cs="Aptos"/>
          <w:noProof w:val="0"/>
          <w:color w:val="000000" w:themeColor="text1" w:themeTint="FF" w:themeShade="FF"/>
          <w:sz w:val="20"/>
          <w:szCs w:val="20"/>
          <w:lang w:val="en-US"/>
        </w:rPr>
        <w:t xml:space="preserve">Table </w:t>
      </w:r>
      <w:r w:rsidRPr="4A7CC396" w:rsidR="46CE698A">
        <w:rPr>
          <w:rFonts w:ascii="Aptos" w:hAnsi="Aptos" w:eastAsia="Aptos" w:cs="Aptos"/>
          <w:noProof w:val="0"/>
          <w:color w:val="000000" w:themeColor="text1" w:themeTint="FF" w:themeShade="FF"/>
          <w:sz w:val="20"/>
          <w:szCs w:val="20"/>
          <w:lang w:val="en-US"/>
        </w:rPr>
        <w:t>3</w:t>
      </w:r>
      <w:r w:rsidRPr="4A7CC396" w:rsidR="618619C3">
        <w:rPr>
          <w:rFonts w:ascii="Aptos" w:hAnsi="Aptos" w:eastAsia="Aptos" w:cs="Aptos"/>
          <w:noProof w:val="0"/>
          <w:color w:val="000000" w:themeColor="text1" w:themeTint="FF" w:themeShade="FF"/>
          <w:sz w:val="20"/>
          <w:szCs w:val="20"/>
          <w:lang w:val="en-US"/>
        </w:rPr>
        <w:t xml:space="preserve"> </w:t>
      </w:r>
      <w:r w:rsidRPr="4A7CC396" w:rsidR="618619C3">
        <w:rPr>
          <w:rFonts w:ascii="Aptos" w:hAnsi="Aptos" w:eastAsia="Aptos" w:cs="Aptos"/>
          <w:noProof w:val="0"/>
          <w:color w:val="000000" w:themeColor="text1" w:themeTint="FF" w:themeShade="FF"/>
          <w:sz w:val="20"/>
          <w:szCs w:val="20"/>
          <w:lang w:val="en-US"/>
        </w:rPr>
        <w:t xml:space="preserve">presents the macro </w:t>
      </w:r>
      <w:r w:rsidRPr="4A7CC396" w:rsidR="618619C3">
        <w:rPr>
          <w:rFonts w:ascii="Aptos" w:hAnsi="Aptos" w:eastAsia="Aptos" w:cs="Aptos"/>
          <w:noProof w:val="0"/>
          <w:color w:val="000000" w:themeColor="text1" w:themeTint="FF" w:themeShade="FF"/>
          <w:sz w:val="20"/>
          <w:szCs w:val="20"/>
          <w:lang w:val="en-US"/>
        </w:rPr>
        <w:t>population means</w:t>
      </w:r>
      <w:r w:rsidRPr="4A7CC396" w:rsidR="618619C3">
        <w:rPr>
          <w:rFonts w:ascii="Aptos" w:hAnsi="Aptos" w:eastAsia="Aptos" w:cs="Aptos"/>
          <w:noProof w:val="0"/>
          <w:color w:val="000000" w:themeColor="text1" w:themeTint="FF" w:themeShade="FF"/>
          <w:sz w:val="20"/>
          <w:szCs w:val="20"/>
          <w:lang w:val="en-US"/>
        </w:rPr>
        <w:t xml:space="preserve"> across all six metrics for each model and document combination. </w:t>
      </w:r>
    </w:p>
    <w:p w:rsidR="61F9B131" w:rsidP="4C15D6E0" w:rsidRDefault="61F9B131" w14:paraId="628E4356" w14:textId="47024CD3">
      <w:pPr>
        <w:spacing w:before="240" w:beforeAutospacing="off"/>
        <w:jc w:val="center"/>
        <w:rPr>
          <w:rFonts w:ascii="Aptos" w:hAnsi="Aptos" w:eastAsia="Aptos" w:cs="Aptos"/>
          <w:noProof w:val="0"/>
          <w:color w:val="000000" w:themeColor="text1" w:themeTint="FF" w:themeShade="FF"/>
          <w:sz w:val="20"/>
          <w:szCs w:val="20"/>
          <w:lang w:val="en-US"/>
        </w:rPr>
      </w:pPr>
      <w:r w:rsidRPr="4A7CC396" w:rsidR="61F9B131">
        <w:rPr>
          <w:rFonts w:ascii="Aptos" w:hAnsi="Aptos" w:eastAsia="Aptos" w:cs="Aptos"/>
          <w:noProof w:val="0"/>
          <w:color w:val="000000" w:themeColor="text1" w:themeTint="FF" w:themeShade="FF"/>
          <w:sz w:val="20"/>
          <w:szCs w:val="20"/>
          <w:lang w:val="en-US"/>
        </w:rPr>
        <w:t xml:space="preserve">Table </w:t>
      </w:r>
      <w:r w:rsidRPr="4A7CC396" w:rsidR="42585F57">
        <w:rPr>
          <w:rFonts w:ascii="Aptos" w:hAnsi="Aptos" w:eastAsia="Aptos" w:cs="Aptos"/>
          <w:noProof w:val="0"/>
          <w:color w:val="000000" w:themeColor="text1" w:themeTint="FF" w:themeShade="FF"/>
          <w:sz w:val="20"/>
          <w:szCs w:val="20"/>
          <w:lang w:val="en-US"/>
        </w:rPr>
        <w:t>3</w:t>
      </w:r>
      <w:r w:rsidRPr="4A7CC396" w:rsidR="61F9B131">
        <w:rPr>
          <w:rFonts w:ascii="Aptos" w:hAnsi="Aptos" w:eastAsia="Aptos" w:cs="Aptos"/>
          <w:noProof w:val="0"/>
          <w:color w:val="000000" w:themeColor="text1" w:themeTint="FF" w:themeShade="FF"/>
          <w:sz w:val="20"/>
          <w:szCs w:val="20"/>
          <w:lang w:val="en-US"/>
        </w:rPr>
        <w:t>.  Evaluation Matrix (All Runs)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593"/>
        <w:gridCol w:w="571"/>
        <w:gridCol w:w="501"/>
        <w:gridCol w:w="770"/>
        <w:gridCol w:w="624"/>
        <w:gridCol w:w="413"/>
        <w:gridCol w:w="644"/>
        <w:gridCol w:w="549"/>
      </w:tblGrid>
      <w:tr xmlns:wp14="http://schemas.microsoft.com/office/word/2010/wordml" w:rsidR="4C15D6E0" w:rsidTr="4A7CC396" w14:paraId="03FE1A9A" wp14:textId="77777777">
        <w:trPr>
          <w:trHeight w:val="300"/>
        </w:trPr>
        <w:tc>
          <w:tcPr>
            <w:tcW w:w="593" w:type="dxa"/>
            <w:tcMar>
              <w:left w:w="105" w:type="dxa"/>
              <w:right w:w="105" w:type="dxa"/>
            </w:tcMar>
            <w:vAlign w:val="center"/>
          </w:tcPr>
          <w:p w:rsidR="4C15D6E0" w:rsidP="4C15D6E0" w:rsidRDefault="4C15D6E0" w14:paraId="0344F643" w14:textId="6C74A152">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4C15D6E0" w:rsidR="4C15D6E0">
              <w:rPr>
                <w:rFonts w:ascii="Times New Roman" w:hAnsi="Times New Roman" w:eastAsia="Times New Roman" w:cs="Times New Roman"/>
                <w:b w:val="1"/>
                <w:bCs w:val="1"/>
                <w:color w:val="000000" w:themeColor="text1" w:themeTint="FF" w:themeShade="FF"/>
                <w:sz w:val="12"/>
                <w:szCs w:val="12"/>
                <w:lang w:val="en"/>
              </w:rPr>
              <w:t>Rag Quality Report</w:t>
            </w:r>
          </w:p>
        </w:tc>
        <w:tc>
          <w:tcPr>
            <w:tcW w:w="571" w:type="dxa"/>
            <w:tcMar>
              <w:left w:w="105" w:type="dxa"/>
              <w:right w:w="105" w:type="dxa"/>
            </w:tcMar>
            <w:vAlign w:val="center"/>
          </w:tcPr>
          <w:p w:rsidR="4C15D6E0" w:rsidP="4C15D6E0" w:rsidRDefault="4C15D6E0" w14:paraId="1CE18846" w14:textId="043CAAF8">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4C15D6E0" w:rsidR="4C15D6E0">
              <w:rPr>
                <w:rFonts w:ascii="Times New Roman" w:hAnsi="Times New Roman" w:eastAsia="Times New Roman" w:cs="Times New Roman"/>
                <w:b w:val="1"/>
                <w:bCs w:val="1"/>
                <w:color w:val="000000" w:themeColor="text1" w:themeTint="FF" w:themeShade="FF"/>
                <w:sz w:val="12"/>
                <w:szCs w:val="12"/>
                <w:lang w:val="en"/>
              </w:rPr>
              <w:t>Faithfulness</w:t>
            </w:r>
          </w:p>
        </w:tc>
        <w:tc>
          <w:tcPr>
            <w:tcW w:w="501" w:type="dxa"/>
            <w:tcMar>
              <w:left w:w="105" w:type="dxa"/>
              <w:right w:w="105" w:type="dxa"/>
            </w:tcMar>
            <w:vAlign w:val="center"/>
          </w:tcPr>
          <w:p w:rsidR="4C15D6E0" w:rsidP="4C15D6E0" w:rsidRDefault="4C15D6E0" w14:paraId="20F6180B" w14:textId="4182077D">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4C15D6E0" w:rsidR="4C15D6E0">
              <w:rPr>
                <w:rFonts w:ascii="Times New Roman" w:hAnsi="Times New Roman" w:eastAsia="Times New Roman" w:cs="Times New Roman"/>
                <w:b w:val="1"/>
                <w:bCs w:val="1"/>
                <w:color w:val="000000" w:themeColor="text1" w:themeTint="FF" w:themeShade="FF"/>
                <w:sz w:val="12"/>
                <w:szCs w:val="12"/>
                <w:lang w:val="en"/>
              </w:rPr>
              <w:t>Evidence Relevance</w:t>
            </w:r>
          </w:p>
        </w:tc>
        <w:tc>
          <w:tcPr>
            <w:tcW w:w="770" w:type="dxa"/>
            <w:tcMar>
              <w:left w:w="105" w:type="dxa"/>
              <w:right w:w="105" w:type="dxa"/>
            </w:tcMar>
            <w:vAlign w:val="center"/>
          </w:tcPr>
          <w:p w:rsidR="4C15D6E0" w:rsidP="4C15D6E0" w:rsidRDefault="4C15D6E0" w14:paraId="7A337CD4" w14:textId="6A29B54C">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4C15D6E0" w:rsidR="4C15D6E0">
              <w:rPr>
                <w:rFonts w:ascii="Times New Roman" w:hAnsi="Times New Roman" w:eastAsia="Times New Roman" w:cs="Times New Roman"/>
                <w:b w:val="1"/>
                <w:bCs w:val="1"/>
                <w:color w:val="000000" w:themeColor="text1" w:themeTint="FF" w:themeShade="FF"/>
                <w:sz w:val="12"/>
                <w:szCs w:val="12"/>
                <w:lang w:val="en"/>
              </w:rPr>
              <w:t>Score Consistency</w:t>
            </w:r>
          </w:p>
        </w:tc>
        <w:tc>
          <w:tcPr>
            <w:tcW w:w="624" w:type="dxa"/>
            <w:tcMar>
              <w:left w:w="105" w:type="dxa"/>
              <w:right w:w="105" w:type="dxa"/>
            </w:tcMar>
            <w:vAlign w:val="center"/>
          </w:tcPr>
          <w:p w:rsidR="4C15D6E0" w:rsidP="4C15D6E0" w:rsidRDefault="4C15D6E0" w14:paraId="53392B92" w14:textId="2634FE4D">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4C15D6E0" w:rsidR="4C15D6E0">
              <w:rPr>
                <w:rFonts w:ascii="Times New Roman" w:hAnsi="Times New Roman" w:eastAsia="Times New Roman" w:cs="Times New Roman"/>
                <w:b w:val="1"/>
                <w:bCs w:val="1"/>
                <w:color w:val="000000" w:themeColor="text1" w:themeTint="FF" w:themeShade="FF"/>
                <w:sz w:val="12"/>
                <w:szCs w:val="12"/>
                <w:lang w:val="en"/>
              </w:rPr>
              <w:t>Gap Completeness</w:t>
            </w:r>
          </w:p>
        </w:tc>
        <w:tc>
          <w:tcPr>
            <w:tcW w:w="413" w:type="dxa"/>
            <w:tcMar>
              <w:left w:w="105" w:type="dxa"/>
              <w:right w:w="105" w:type="dxa"/>
            </w:tcMar>
            <w:vAlign w:val="center"/>
          </w:tcPr>
          <w:p w:rsidR="4C15D6E0" w:rsidP="4C15D6E0" w:rsidRDefault="4C15D6E0" w14:paraId="6FBE3407" w14:textId="0B29522F">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4C15D6E0" w:rsidR="4C15D6E0">
              <w:rPr>
                <w:rFonts w:ascii="Times New Roman" w:hAnsi="Times New Roman" w:eastAsia="Times New Roman" w:cs="Times New Roman"/>
                <w:b w:val="1"/>
                <w:bCs w:val="1"/>
                <w:color w:val="000000" w:themeColor="text1" w:themeTint="FF" w:themeShade="FF"/>
                <w:sz w:val="12"/>
                <w:szCs w:val="12"/>
                <w:lang w:val="en"/>
              </w:rPr>
              <w:t>Rec Quality</w:t>
            </w:r>
          </w:p>
        </w:tc>
        <w:tc>
          <w:tcPr>
            <w:tcW w:w="644" w:type="dxa"/>
            <w:tcMar>
              <w:left w:w="105" w:type="dxa"/>
              <w:right w:w="105" w:type="dxa"/>
            </w:tcMar>
            <w:vAlign w:val="center"/>
          </w:tcPr>
          <w:p w:rsidR="4C15D6E0" w:rsidP="4C15D6E0" w:rsidRDefault="4C15D6E0" w14:paraId="063CA66B" w14:textId="30060CFF">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4C15D6E0" w:rsidR="4C15D6E0">
              <w:rPr>
                <w:rFonts w:ascii="Times New Roman" w:hAnsi="Times New Roman" w:eastAsia="Times New Roman" w:cs="Times New Roman"/>
                <w:b w:val="1"/>
                <w:bCs w:val="1"/>
                <w:color w:val="000000" w:themeColor="text1" w:themeTint="FF" w:themeShade="FF"/>
                <w:sz w:val="12"/>
                <w:szCs w:val="12"/>
                <w:lang w:val="en-US"/>
              </w:rPr>
              <w:t>Groundedness</w:t>
            </w:r>
          </w:p>
        </w:tc>
        <w:tc>
          <w:tcPr>
            <w:tcW w:w="549" w:type="dxa"/>
            <w:tcMar>
              <w:left w:w="105" w:type="dxa"/>
              <w:right w:w="105" w:type="dxa"/>
            </w:tcMar>
            <w:vAlign w:val="center"/>
          </w:tcPr>
          <w:p w:rsidR="4C15D6E0" w:rsidP="4C15D6E0" w:rsidRDefault="4C15D6E0" w14:paraId="3670A95E" w14:textId="7E3DF3CB">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4C15D6E0" w:rsidR="4C15D6E0">
              <w:rPr>
                <w:rFonts w:ascii="Times New Roman" w:hAnsi="Times New Roman" w:eastAsia="Times New Roman" w:cs="Times New Roman"/>
                <w:b w:val="1"/>
                <w:bCs w:val="1"/>
                <w:color w:val="000000" w:themeColor="text1" w:themeTint="FF" w:themeShade="FF"/>
                <w:sz w:val="12"/>
                <w:szCs w:val="12"/>
                <w:lang w:val="en"/>
              </w:rPr>
              <w:t>OVERALL</w:t>
            </w:r>
          </w:p>
        </w:tc>
      </w:tr>
      <w:tr xmlns:wp14="http://schemas.microsoft.com/office/word/2010/wordml" w:rsidR="4C15D6E0" w:rsidTr="4A7CC396" w14:paraId="3C313764" wp14:textId="77777777">
        <w:trPr>
          <w:trHeight w:val="300"/>
        </w:trPr>
        <w:tc>
          <w:tcPr>
            <w:tcW w:w="593" w:type="dxa"/>
            <w:tcMar>
              <w:left w:w="105" w:type="dxa"/>
              <w:right w:w="105" w:type="dxa"/>
            </w:tcMar>
            <w:vAlign w:val="center"/>
          </w:tcPr>
          <w:p w:rsidR="4C15D6E0" w:rsidP="4C15D6E0" w:rsidRDefault="4C15D6E0" w14:paraId="104F483D" w14:textId="083E2F77">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Dept of Educ Anthrop</w:t>
            </w:r>
          </w:p>
        </w:tc>
        <w:tc>
          <w:tcPr>
            <w:tcW w:w="571" w:type="dxa"/>
            <w:tcMar>
              <w:left w:w="105" w:type="dxa"/>
              <w:right w:w="105" w:type="dxa"/>
            </w:tcMar>
            <w:vAlign w:val="center"/>
          </w:tcPr>
          <w:p w:rsidR="4C15D6E0" w:rsidP="4C15D6E0" w:rsidRDefault="4C15D6E0" w14:paraId="0DB5A0EB" w14:textId="037A4DD2">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0.863</w:t>
            </w:r>
          </w:p>
        </w:tc>
        <w:tc>
          <w:tcPr>
            <w:tcW w:w="501" w:type="dxa"/>
            <w:tcMar>
              <w:left w:w="105" w:type="dxa"/>
              <w:right w:w="105" w:type="dxa"/>
            </w:tcMar>
            <w:vAlign w:val="center"/>
          </w:tcPr>
          <w:p w:rsidR="4C15D6E0" w:rsidP="4C15D6E0" w:rsidRDefault="4C15D6E0" w14:paraId="2BA8D43A" w14:textId="3E1CB18D">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0.626</w:t>
            </w:r>
          </w:p>
        </w:tc>
        <w:tc>
          <w:tcPr>
            <w:tcW w:w="770" w:type="dxa"/>
            <w:tcMar>
              <w:left w:w="105" w:type="dxa"/>
              <w:right w:w="105" w:type="dxa"/>
            </w:tcMar>
            <w:vAlign w:val="center"/>
          </w:tcPr>
          <w:p w:rsidR="4C15D6E0" w:rsidP="4C15D6E0" w:rsidRDefault="4C15D6E0" w14:paraId="106E37CA" w14:textId="37B496F1">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0.818</w:t>
            </w:r>
          </w:p>
        </w:tc>
        <w:tc>
          <w:tcPr>
            <w:tcW w:w="624" w:type="dxa"/>
            <w:tcMar>
              <w:left w:w="105" w:type="dxa"/>
              <w:right w:w="105" w:type="dxa"/>
            </w:tcMar>
            <w:vAlign w:val="center"/>
          </w:tcPr>
          <w:p w:rsidR="4C15D6E0" w:rsidP="4C15D6E0" w:rsidRDefault="4C15D6E0" w14:paraId="60AFA8EF" w14:textId="126E9390">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0.825</w:t>
            </w:r>
          </w:p>
        </w:tc>
        <w:tc>
          <w:tcPr>
            <w:tcW w:w="413" w:type="dxa"/>
            <w:tcMar>
              <w:left w:w="105" w:type="dxa"/>
              <w:right w:w="105" w:type="dxa"/>
            </w:tcMar>
            <w:vAlign w:val="center"/>
          </w:tcPr>
          <w:p w:rsidR="4C15D6E0" w:rsidP="4C15D6E0" w:rsidRDefault="4C15D6E0" w14:paraId="53CCECEE" w14:textId="72B3BABC">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0.856</w:t>
            </w:r>
          </w:p>
        </w:tc>
        <w:tc>
          <w:tcPr>
            <w:tcW w:w="644" w:type="dxa"/>
            <w:tcMar>
              <w:left w:w="105" w:type="dxa"/>
              <w:right w:w="105" w:type="dxa"/>
            </w:tcMar>
            <w:vAlign w:val="center"/>
          </w:tcPr>
          <w:p w:rsidR="4C15D6E0" w:rsidP="4C15D6E0" w:rsidRDefault="4C15D6E0" w14:paraId="027640AB" w14:textId="0379B1BA">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0.997</w:t>
            </w:r>
          </w:p>
        </w:tc>
        <w:tc>
          <w:tcPr>
            <w:tcW w:w="549" w:type="dxa"/>
            <w:tcMar>
              <w:left w:w="105" w:type="dxa"/>
              <w:right w:w="105" w:type="dxa"/>
            </w:tcMar>
            <w:vAlign w:val="center"/>
          </w:tcPr>
          <w:p w:rsidR="4C15D6E0" w:rsidP="4C15D6E0" w:rsidRDefault="4C15D6E0" w14:paraId="2F805719" w14:textId="59850A26">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b w:val="1"/>
                <w:bCs w:val="1"/>
                <w:color w:val="000000" w:themeColor="text1" w:themeTint="FF" w:themeShade="FF"/>
                <w:sz w:val="13"/>
                <w:szCs w:val="13"/>
                <w:lang w:val="en"/>
              </w:rPr>
              <w:t>0.831</w:t>
            </w:r>
          </w:p>
        </w:tc>
      </w:tr>
      <w:tr xmlns:wp14="http://schemas.microsoft.com/office/word/2010/wordml" w:rsidR="4C15D6E0" w:rsidTr="4A7CC396" w14:paraId="58B47734" wp14:textId="77777777">
        <w:trPr>
          <w:trHeight w:val="300"/>
        </w:trPr>
        <w:tc>
          <w:tcPr>
            <w:tcW w:w="593" w:type="dxa"/>
            <w:tcMar>
              <w:left w:w="105" w:type="dxa"/>
              <w:right w:w="105" w:type="dxa"/>
            </w:tcMar>
            <w:vAlign w:val="center"/>
          </w:tcPr>
          <w:p w:rsidR="4C15D6E0" w:rsidP="4C15D6E0" w:rsidRDefault="4C15D6E0" w14:paraId="785BF0F0" w14:textId="65D03B8E">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US"/>
              </w:rPr>
              <w:t>Dept of Educ Gpt4.1</w:t>
            </w:r>
          </w:p>
        </w:tc>
        <w:tc>
          <w:tcPr>
            <w:tcW w:w="571" w:type="dxa"/>
            <w:tcMar>
              <w:left w:w="105" w:type="dxa"/>
              <w:right w:w="105" w:type="dxa"/>
            </w:tcMar>
            <w:vAlign w:val="center"/>
          </w:tcPr>
          <w:p w:rsidR="4C15D6E0" w:rsidP="4C15D6E0" w:rsidRDefault="4C15D6E0" w14:paraId="29AE2DA4" w14:textId="337B88C3">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0.810</w:t>
            </w:r>
          </w:p>
        </w:tc>
        <w:tc>
          <w:tcPr>
            <w:tcW w:w="501" w:type="dxa"/>
            <w:tcMar>
              <w:left w:w="105" w:type="dxa"/>
              <w:right w:w="105" w:type="dxa"/>
            </w:tcMar>
            <w:vAlign w:val="center"/>
          </w:tcPr>
          <w:p w:rsidR="4C15D6E0" w:rsidP="4C15D6E0" w:rsidRDefault="4C15D6E0" w14:paraId="11296BDA" w14:textId="4DB1A4C6">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0.556</w:t>
            </w:r>
          </w:p>
        </w:tc>
        <w:tc>
          <w:tcPr>
            <w:tcW w:w="770" w:type="dxa"/>
            <w:tcMar>
              <w:left w:w="105" w:type="dxa"/>
              <w:right w:w="105" w:type="dxa"/>
            </w:tcMar>
            <w:vAlign w:val="center"/>
          </w:tcPr>
          <w:p w:rsidR="4C15D6E0" w:rsidP="4C15D6E0" w:rsidRDefault="4C15D6E0" w14:paraId="61C8EC84" w14:textId="0D818ACB">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0.714</w:t>
            </w:r>
          </w:p>
        </w:tc>
        <w:tc>
          <w:tcPr>
            <w:tcW w:w="624" w:type="dxa"/>
            <w:tcMar>
              <w:left w:w="105" w:type="dxa"/>
              <w:right w:w="105" w:type="dxa"/>
            </w:tcMar>
            <w:vAlign w:val="center"/>
          </w:tcPr>
          <w:p w:rsidR="4C15D6E0" w:rsidP="4C15D6E0" w:rsidRDefault="4C15D6E0" w14:paraId="45937971" w14:textId="7FF630CC">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0.727</w:t>
            </w:r>
          </w:p>
        </w:tc>
        <w:tc>
          <w:tcPr>
            <w:tcW w:w="413" w:type="dxa"/>
            <w:tcMar>
              <w:left w:w="105" w:type="dxa"/>
              <w:right w:w="105" w:type="dxa"/>
            </w:tcMar>
            <w:vAlign w:val="center"/>
          </w:tcPr>
          <w:p w:rsidR="4C15D6E0" w:rsidP="4C15D6E0" w:rsidRDefault="4C15D6E0" w14:paraId="58CD1377" w14:textId="6B61CAD5">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0.784</w:t>
            </w:r>
          </w:p>
        </w:tc>
        <w:tc>
          <w:tcPr>
            <w:tcW w:w="644" w:type="dxa"/>
            <w:tcMar>
              <w:left w:w="105" w:type="dxa"/>
              <w:right w:w="105" w:type="dxa"/>
            </w:tcMar>
            <w:vAlign w:val="center"/>
          </w:tcPr>
          <w:p w:rsidR="4C15D6E0" w:rsidP="4C15D6E0" w:rsidRDefault="4C15D6E0" w14:paraId="593CB51B" w14:textId="5220DB22">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0.955</w:t>
            </w:r>
          </w:p>
        </w:tc>
        <w:tc>
          <w:tcPr>
            <w:tcW w:w="549" w:type="dxa"/>
            <w:tcMar>
              <w:left w:w="105" w:type="dxa"/>
              <w:right w:w="105" w:type="dxa"/>
            </w:tcMar>
            <w:vAlign w:val="center"/>
          </w:tcPr>
          <w:p w:rsidR="4C15D6E0" w:rsidP="4C15D6E0" w:rsidRDefault="4C15D6E0" w14:paraId="3DB8164D" w14:textId="3D3300EE">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b w:val="1"/>
                <w:bCs w:val="1"/>
                <w:color w:val="000000" w:themeColor="text1" w:themeTint="FF" w:themeShade="FF"/>
                <w:sz w:val="13"/>
                <w:szCs w:val="13"/>
                <w:lang w:val="en"/>
              </w:rPr>
              <w:t>0.758</w:t>
            </w:r>
          </w:p>
        </w:tc>
      </w:tr>
      <w:tr xmlns:wp14="http://schemas.microsoft.com/office/word/2010/wordml" w:rsidR="4C15D6E0" w:rsidTr="4A7CC396" w14:paraId="49CC5998" wp14:textId="77777777">
        <w:trPr>
          <w:trHeight w:val="300"/>
        </w:trPr>
        <w:tc>
          <w:tcPr>
            <w:tcW w:w="593" w:type="dxa"/>
            <w:tcMar>
              <w:left w:w="105" w:type="dxa"/>
              <w:right w:w="105" w:type="dxa"/>
            </w:tcMar>
            <w:vAlign w:val="center"/>
          </w:tcPr>
          <w:p w:rsidR="4C15D6E0" w:rsidP="4C15D6E0" w:rsidRDefault="4C15D6E0" w14:paraId="7A050CB6" w14:textId="70D0878F">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Dept of Educ Llama 4 Mav</w:t>
            </w:r>
          </w:p>
        </w:tc>
        <w:tc>
          <w:tcPr>
            <w:tcW w:w="571" w:type="dxa"/>
            <w:tcMar>
              <w:left w:w="105" w:type="dxa"/>
              <w:right w:w="105" w:type="dxa"/>
            </w:tcMar>
            <w:vAlign w:val="center"/>
          </w:tcPr>
          <w:p w:rsidR="4C15D6E0" w:rsidP="4C15D6E0" w:rsidRDefault="4C15D6E0" w14:paraId="0AC50396" w14:textId="52ACE999">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0.805</w:t>
            </w:r>
          </w:p>
        </w:tc>
        <w:tc>
          <w:tcPr>
            <w:tcW w:w="501" w:type="dxa"/>
            <w:tcMar>
              <w:left w:w="105" w:type="dxa"/>
              <w:right w:w="105" w:type="dxa"/>
            </w:tcMar>
            <w:vAlign w:val="center"/>
          </w:tcPr>
          <w:p w:rsidR="4C15D6E0" w:rsidP="4C15D6E0" w:rsidRDefault="4C15D6E0" w14:paraId="70AE19EB" w14:textId="6A113F67">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0.553</w:t>
            </w:r>
          </w:p>
        </w:tc>
        <w:tc>
          <w:tcPr>
            <w:tcW w:w="770" w:type="dxa"/>
            <w:tcMar>
              <w:left w:w="105" w:type="dxa"/>
              <w:right w:w="105" w:type="dxa"/>
            </w:tcMar>
            <w:vAlign w:val="center"/>
          </w:tcPr>
          <w:p w:rsidR="4C15D6E0" w:rsidP="4C15D6E0" w:rsidRDefault="4C15D6E0" w14:paraId="3CB688EA" w14:textId="1866B54F">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0.716</w:t>
            </w:r>
          </w:p>
        </w:tc>
        <w:tc>
          <w:tcPr>
            <w:tcW w:w="624" w:type="dxa"/>
            <w:tcMar>
              <w:left w:w="105" w:type="dxa"/>
              <w:right w:w="105" w:type="dxa"/>
            </w:tcMar>
            <w:vAlign w:val="center"/>
          </w:tcPr>
          <w:p w:rsidR="4C15D6E0" w:rsidP="4C15D6E0" w:rsidRDefault="4C15D6E0" w14:paraId="2EBB26F4" w14:textId="0ABEB4B3">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0.726</w:t>
            </w:r>
          </w:p>
        </w:tc>
        <w:tc>
          <w:tcPr>
            <w:tcW w:w="413" w:type="dxa"/>
            <w:tcMar>
              <w:left w:w="105" w:type="dxa"/>
              <w:right w:w="105" w:type="dxa"/>
            </w:tcMar>
            <w:vAlign w:val="center"/>
          </w:tcPr>
          <w:p w:rsidR="4C15D6E0" w:rsidP="4C15D6E0" w:rsidRDefault="4C15D6E0" w14:paraId="58041265" w14:textId="103288EA">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0.789</w:t>
            </w:r>
          </w:p>
        </w:tc>
        <w:tc>
          <w:tcPr>
            <w:tcW w:w="644" w:type="dxa"/>
            <w:tcMar>
              <w:left w:w="105" w:type="dxa"/>
              <w:right w:w="105" w:type="dxa"/>
            </w:tcMar>
            <w:vAlign w:val="center"/>
          </w:tcPr>
          <w:p w:rsidR="4C15D6E0" w:rsidP="4C15D6E0" w:rsidRDefault="4C15D6E0" w14:paraId="30AE6CBF" w14:textId="3DE16E6C">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0.965</w:t>
            </w:r>
          </w:p>
        </w:tc>
        <w:tc>
          <w:tcPr>
            <w:tcW w:w="549" w:type="dxa"/>
            <w:tcMar>
              <w:left w:w="105" w:type="dxa"/>
              <w:right w:w="105" w:type="dxa"/>
            </w:tcMar>
            <w:vAlign w:val="center"/>
          </w:tcPr>
          <w:p w:rsidR="4C15D6E0" w:rsidP="4C15D6E0" w:rsidRDefault="4C15D6E0" w14:paraId="048D27B5" w14:textId="6BF27A1E">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b w:val="1"/>
                <w:bCs w:val="1"/>
                <w:color w:val="000000" w:themeColor="text1" w:themeTint="FF" w:themeShade="FF"/>
                <w:sz w:val="13"/>
                <w:szCs w:val="13"/>
                <w:lang w:val="en"/>
              </w:rPr>
              <w:t>0.760</w:t>
            </w:r>
          </w:p>
        </w:tc>
      </w:tr>
      <w:tr xmlns:wp14="http://schemas.microsoft.com/office/word/2010/wordml" w:rsidR="4C15D6E0" w:rsidTr="4A7CC396" w14:paraId="4C59D7B8" wp14:textId="77777777">
        <w:trPr>
          <w:trHeight w:val="300"/>
        </w:trPr>
        <w:tc>
          <w:tcPr>
            <w:tcW w:w="593" w:type="dxa"/>
            <w:tcMar>
              <w:left w:w="105" w:type="dxa"/>
              <w:right w:w="105" w:type="dxa"/>
            </w:tcMar>
            <w:vAlign w:val="center"/>
          </w:tcPr>
          <w:p w:rsidR="4C15D6E0" w:rsidP="4C15D6E0" w:rsidRDefault="4C15D6E0" w14:paraId="110F43BB" w14:textId="1EC1B6C5">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Scott &amp; Scott Anthrop</w:t>
            </w:r>
          </w:p>
        </w:tc>
        <w:tc>
          <w:tcPr>
            <w:tcW w:w="571" w:type="dxa"/>
            <w:tcMar>
              <w:left w:w="105" w:type="dxa"/>
              <w:right w:w="105" w:type="dxa"/>
            </w:tcMar>
            <w:vAlign w:val="center"/>
          </w:tcPr>
          <w:p w:rsidR="4C15D6E0" w:rsidP="4C15D6E0" w:rsidRDefault="4C15D6E0" w14:paraId="5CD32E25" w14:textId="0A6FF7EA">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0.861</w:t>
            </w:r>
          </w:p>
        </w:tc>
        <w:tc>
          <w:tcPr>
            <w:tcW w:w="501" w:type="dxa"/>
            <w:tcMar>
              <w:left w:w="105" w:type="dxa"/>
              <w:right w:w="105" w:type="dxa"/>
            </w:tcMar>
            <w:vAlign w:val="center"/>
          </w:tcPr>
          <w:p w:rsidR="4C15D6E0" w:rsidP="4C15D6E0" w:rsidRDefault="4C15D6E0" w14:paraId="48983C97" w14:textId="5A934C64">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0.657</w:t>
            </w:r>
          </w:p>
        </w:tc>
        <w:tc>
          <w:tcPr>
            <w:tcW w:w="770" w:type="dxa"/>
            <w:tcMar>
              <w:left w:w="105" w:type="dxa"/>
              <w:right w:w="105" w:type="dxa"/>
            </w:tcMar>
            <w:vAlign w:val="center"/>
          </w:tcPr>
          <w:p w:rsidR="4C15D6E0" w:rsidP="4C15D6E0" w:rsidRDefault="4C15D6E0" w14:paraId="30D5BEC7" w14:textId="4BA16538">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0.830</w:t>
            </w:r>
          </w:p>
        </w:tc>
        <w:tc>
          <w:tcPr>
            <w:tcW w:w="624" w:type="dxa"/>
            <w:tcMar>
              <w:left w:w="105" w:type="dxa"/>
              <w:right w:w="105" w:type="dxa"/>
            </w:tcMar>
            <w:vAlign w:val="center"/>
          </w:tcPr>
          <w:p w:rsidR="4C15D6E0" w:rsidP="4C15D6E0" w:rsidRDefault="4C15D6E0" w14:paraId="34ADADD9" w14:textId="4C77DF25">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0.834</w:t>
            </w:r>
          </w:p>
        </w:tc>
        <w:tc>
          <w:tcPr>
            <w:tcW w:w="413" w:type="dxa"/>
            <w:tcMar>
              <w:left w:w="105" w:type="dxa"/>
              <w:right w:w="105" w:type="dxa"/>
            </w:tcMar>
            <w:vAlign w:val="center"/>
          </w:tcPr>
          <w:p w:rsidR="4C15D6E0" w:rsidP="4C15D6E0" w:rsidRDefault="4C15D6E0" w14:paraId="49590709" w14:textId="3F74F7A6">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0.872</w:t>
            </w:r>
          </w:p>
        </w:tc>
        <w:tc>
          <w:tcPr>
            <w:tcW w:w="644" w:type="dxa"/>
            <w:tcMar>
              <w:left w:w="105" w:type="dxa"/>
              <w:right w:w="105" w:type="dxa"/>
            </w:tcMar>
            <w:vAlign w:val="center"/>
          </w:tcPr>
          <w:p w:rsidR="4C15D6E0" w:rsidP="4C15D6E0" w:rsidRDefault="4C15D6E0" w14:paraId="42D0EF07" w14:textId="69F07362">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1.000</w:t>
            </w:r>
          </w:p>
        </w:tc>
        <w:tc>
          <w:tcPr>
            <w:tcW w:w="549" w:type="dxa"/>
            <w:tcMar>
              <w:left w:w="105" w:type="dxa"/>
              <w:right w:w="105" w:type="dxa"/>
            </w:tcMar>
            <w:vAlign w:val="center"/>
          </w:tcPr>
          <w:p w:rsidR="4C15D6E0" w:rsidP="4C15D6E0" w:rsidRDefault="4C15D6E0" w14:paraId="760DC587" w14:textId="26116F82">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b w:val="1"/>
                <w:bCs w:val="1"/>
                <w:color w:val="000000" w:themeColor="text1" w:themeTint="FF" w:themeShade="FF"/>
                <w:sz w:val="13"/>
                <w:szCs w:val="13"/>
                <w:lang w:val="en"/>
              </w:rPr>
              <w:t>0.842</w:t>
            </w:r>
          </w:p>
        </w:tc>
      </w:tr>
      <w:tr xmlns:wp14="http://schemas.microsoft.com/office/word/2010/wordml" w:rsidR="4C15D6E0" w:rsidTr="4A7CC396" w14:paraId="12079755" wp14:textId="77777777">
        <w:trPr>
          <w:trHeight w:val="300"/>
        </w:trPr>
        <w:tc>
          <w:tcPr>
            <w:tcW w:w="593" w:type="dxa"/>
            <w:tcMar>
              <w:left w:w="105" w:type="dxa"/>
              <w:right w:w="105" w:type="dxa"/>
            </w:tcMar>
            <w:vAlign w:val="center"/>
          </w:tcPr>
          <w:p w:rsidR="4C15D6E0" w:rsidP="4C15D6E0" w:rsidRDefault="4C15D6E0" w14:paraId="0FAB0481" w14:textId="65354899">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US"/>
              </w:rPr>
              <w:t>Scott &amp; Scott Gpt4.1</w:t>
            </w:r>
          </w:p>
        </w:tc>
        <w:tc>
          <w:tcPr>
            <w:tcW w:w="571" w:type="dxa"/>
            <w:tcMar>
              <w:left w:w="105" w:type="dxa"/>
              <w:right w:w="105" w:type="dxa"/>
            </w:tcMar>
            <w:vAlign w:val="center"/>
          </w:tcPr>
          <w:p w:rsidR="4C15D6E0" w:rsidP="4C15D6E0" w:rsidRDefault="4C15D6E0" w14:paraId="3341F893" w14:textId="43AF9241">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0.825</w:t>
            </w:r>
          </w:p>
        </w:tc>
        <w:tc>
          <w:tcPr>
            <w:tcW w:w="501" w:type="dxa"/>
            <w:tcMar>
              <w:left w:w="105" w:type="dxa"/>
              <w:right w:w="105" w:type="dxa"/>
            </w:tcMar>
            <w:vAlign w:val="center"/>
          </w:tcPr>
          <w:p w:rsidR="4C15D6E0" w:rsidP="4C15D6E0" w:rsidRDefault="4C15D6E0" w14:paraId="1E2B3CA8" w14:textId="46435982">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0.625</w:t>
            </w:r>
          </w:p>
        </w:tc>
        <w:tc>
          <w:tcPr>
            <w:tcW w:w="770" w:type="dxa"/>
            <w:tcMar>
              <w:left w:w="105" w:type="dxa"/>
              <w:right w:w="105" w:type="dxa"/>
            </w:tcMar>
            <w:vAlign w:val="center"/>
          </w:tcPr>
          <w:p w:rsidR="4C15D6E0" w:rsidP="4C15D6E0" w:rsidRDefault="4C15D6E0" w14:paraId="0FD4D2D5" w14:textId="48170117">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0.750</w:t>
            </w:r>
          </w:p>
        </w:tc>
        <w:tc>
          <w:tcPr>
            <w:tcW w:w="624" w:type="dxa"/>
            <w:tcMar>
              <w:left w:w="105" w:type="dxa"/>
              <w:right w:w="105" w:type="dxa"/>
            </w:tcMar>
            <w:vAlign w:val="center"/>
          </w:tcPr>
          <w:p w:rsidR="4C15D6E0" w:rsidP="4C15D6E0" w:rsidRDefault="4C15D6E0" w14:paraId="2E05595E" w14:textId="7D85E7A7">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0.744</w:t>
            </w:r>
          </w:p>
        </w:tc>
        <w:tc>
          <w:tcPr>
            <w:tcW w:w="413" w:type="dxa"/>
            <w:tcMar>
              <w:left w:w="105" w:type="dxa"/>
              <w:right w:w="105" w:type="dxa"/>
            </w:tcMar>
            <w:vAlign w:val="center"/>
          </w:tcPr>
          <w:p w:rsidR="4C15D6E0" w:rsidP="4C15D6E0" w:rsidRDefault="4C15D6E0" w14:paraId="79FE164D" w14:textId="4255ED5B">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0.805</w:t>
            </w:r>
          </w:p>
        </w:tc>
        <w:tc>
          <w:tcPr>
            <w:tcW w:w="644" w:type="dxa"/>
            <w:tcMar>
              <w:left w:w="105" w:type="dxa"/>
              <w:right w:w="105" w:type="dxa"/>
            </w:tcMar>
            <w:vAlign w:val="center"/>
          </w:tcPr>
          <w:p w:rsidR="4C15D6E0" w:rsidP="4C15D6E0" w:rsidRDefault="4C15D6E0" w14:paraId="3298C3F4" w14:textId="60F7C3B6">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0.981</w:t>
            </w:r>
          </w:p>
        </w:tc>
        <w:tc>
          <w:tcPr>
            <w:tcW w:w="549" w:type="dxa"/>
            <w:tcMar>
              <w:left w:w="105" w:type="dxa"/>
              <w:right w:w="105" w:type="dxa"/>
            </w:tcMar>
            <w:vAlign w:val="center"/>
          </w:tcPr>
          <w:p w:rsidR="4C15D6E0" w:rsidP="4C15D6E0" w:rsidRDefault="4C15D6E0" w14:paraId="574FA849" w14:textId="28FA11E4">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b w:val="1"/>
                <w:bCs w:val="1"/>
                <w:color w:val="000000" w:themeColor="text1" w:themeTint="FF" w:themeShade="FF"/>
                <w:sz w:val="13"/>
                <w:szCs w:val="13"/>
                <w:lang w:val="en"/>
              </w:rPr>
              <w:t>0.789</w:t>
            </w:r>
          </w:p>
        </w:tc>
      </w:tr>
      <w:tr xmlns:wp14="http://schemas.microsoft.com/office/word/2010/wordml" w:rsidR="4C15D6E0" w:rsidTr="4A7CC396" w14:paraId="4148B17B" wp14:textId="77777777">
        <w:trPr>
          <w:trHeight w:val="300"/>
        </w:trPr>
        <w:tc>
          <w:tcPr>
            <w:tcW w:w="593" w:type="dxa"/>
            <w:tcMar>
              <w:left w:w="105" w:type="dxa"/>
              <w:right w:w="105" w:type="dxa"/>
            </w:tcMar>
            <w:vAlign w:val="center"/>
          </w:tcPr>
          <w:p w:rsidR="4C15D6E0" w:rsidP="4C15D6E0" w:rsidRDefault="4C15D6E0" w14:paraId="264CF75B" w14:textId="43CCC696">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Scott &amp; Scott Llama 4 Mav</w:t>
            </w:r>
          </w:p>
        </w:tc>
        <w:tc>
          <w:tcPr>
            <w:tcW w:w="571" w:type="dxa"/>
            <w:tcMar>
              <w:left w:w="105" w:type="dxa"/>
              <w:right w:w="105" w:type="dxa"/>
            </w:tcMar>
            <w:vAlign w:val="center"/>
          </w:tcPr>
          <w:p w:rsidR="4C15D6E0" w:rsidP="4C15D6E0" w:rsidRDefault="4C15D6E0" w14:paraId="2975FC97" w14:textId="5F2BA9E6">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0.827</w:t>
            </w:r>
          </w:p>
        </w:tc>
        <w:tc>
          <w:tcPr>
            <w:tcW w:w="501" w:type="dxa"/>
            <w:tcMar>
              <w:left w:w="105" w:type="dxa"/>
              <w:right w:w="105" w:type="dxa"/>
            </w:tcMar>
            <w:vAlign w:val="center"/>
          </w:tcPr>
          <w:p w:rsidR="4C15D6E0" w:rsidP="4C15D6E0" w:rsidRDefault="4C15D6E0" w14:paraId="063E5884" w14:textId="1761A690">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0.620</w:t>
            </w:r>
          </w:p>
        </w:tc>
        <w:tc>
          <w:tcPr>
            <w:tcW w:w="770" w:type="dxa"/>
            <w:tcMar>
              <w:left w:w="105" w:type="dxa"/>
              <w:right w:w="105" w:type="dxa"/>
            </w:tcMar>
            <w:vAlign w:val="center"/>
          </w:tcPr>
          <w:p w:rsidR="4C15D6E0" w:rsidP="4C15D6E0" w:rsidRDefault="4C15D6E0" w14:paraId="40F6FB0E" w14:textId="00126C7F">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0.744</w:t>
            </w:r>
          </w:p>
        </w:tc>
        <w:tc>
          <w:tcPr>
            <w:tcW w:w="624" w:type="dxa"/>
            <w:tcMar>
              <w:left w:w="105" w:type="dxa"/>
              <w:right w:w="105" w:type="dxa"/>
            </w:tcMar>
            <w:vAlign w:val="center"/>
          </w:tcPr>
          <w:p w:rsidR="4C15D6E0" w:rsidP="4C15D6E0" w:rsidRDefault="4C15D6E0" w14:paraId="32D063FA" w14:textId="65B05265">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0.745</w:t>
            </w:r>
          </w:p>
        </w:tc>
        <w:tc>
          <w:tcPr>
            <w:tcW w:w="413" w:type="dxa"/>
            <w:tcMar>
              <w:left w:w="105" w:type="dxa"/>
              <w:right w:w="105" w:type="dxa"/>
            </w:tcMar>
            <w:vAlign w:val="center"/>
          </w:tcPr>
          <w:p w:rsidR="4C15D6E0" w:rsidP="4C15D6E0" w:rsidRDefault="4C15D6E0" w14:paraId="5426C864" w14:textId="0C2EC646">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0.802</w:t>
            </w:r>
          </w:p>
        </w:tc>
        <w:tc>
          <w:tcPr>
            <w:tcW w:w="644" w:type="dxa"/>
            <w:tcMar>
              <w:left w:w="105" w:type="dxa"/>
              <w:right w:w="105" w:type="dxa"/>
            </w:tcMar>
            <w:vAlign w:val="center"/>
          </w:tcPr>
          <w:p w:rsidR="4C15D6E0" w:rsidP="4C15D6E0" w:rsidRDefault="4C15D6E0" w14:paraId="4E3373B9" w14:textId="66634116">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0.979</w:t>
            </w:r>
          </w:p>
        </w:tc>
        <w:tc>
          <w:tcPr>
            <w:tcW w:w="549" w:type="dxa"/>
            <w:tcMar>
              <w:left w:w="105" w:type="dxa"/>
              <w:right w:w="105" w:type="dxa"/>
            </w:tcMar>
            <w:vAlign w:val="center"/>
          </w:tcPr>
          <w:p w:rsidR="4C15D6E0" w:rsidP="4C15D6E0" w:rsidRDefault="4C15D6E0" w14:paraId="530DDC10" w14:textId="11D806A4">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b w:val="1"/>
                <w:bCs w:val="1"/>
                <w:color w:val="000000" w:themeColor="text1" w:themeTint="FF" w:themeShade="FF"/>
                <w:sz w:val="13"/>
                <w:szCs w:val="13"/>
                <w:lang w:val="en"/>
              </w:rPr>
              <w:t>0.786</w:t>
            </w:r>
          </w:p>
        </w:tc>
      </w:tr>
    </w:tbl>
    <w:p w:rsidR="61F9B131" w:rsidP="4A7CC396" w:rsidRDefault="61F9B131" w14:paraId="05097681" w14:textId="2C817C43">
      <w:pPr>
        <w:pStyle w:val="Heading2"/>
        <w:bidi w:val="0"/>
        <w:spacing w:before="180" w:beforeAutospacing="off" w:after="0" w:afterAutospacing="off" w:line="259" w:lineRule="auto"/>
        <w:ind w:left="0" w:right="0"/>
        <w:jc w:val="both"/>
        <w:rPr>
          <w:rFonts w:ascii="Times New Roman" w:hAnsi="Times New Roman" w:eastAsia="Times New Roman" w:cs="Times New Roman"/>
          <w:i w:val="1"/>
          <w:iCs w:val="1"/>
          <w:noProof w:val="0"/>
          <w:sz w:val="20"/>
          <w:szCs w:val="20"/>
          <w:lang w:val="en-US"/>
        </w:rPr>
      </w:pPr>
      <w:r w:rsidRPr="4A7CC396" w:rsidR="61F9B131">
        <w:rPr>
          <w:rFonts w:ascii="Times New Roman" w:hAnsi="Times New Roman" w:eastAsia="Times New Roman" w:cs="Times New Roman"/>
          <w:i w:val="1"/>
          <w:iCs w:val="1"/>
          <w:noProof w:val="0"/>
          <w:sz w:val="20"/>
          <w:szCs w:val="20"/>
          <w:lang w:val="en"/>
        </w:rPr>
        <w:t>V.  Results</w:t>
      </w:r>
    </w:p>
    <w:p w:rsidR="185BFE3D" w:rsidP="4A7CC396" w:rsidRDefault="185BFE3D" w14:paraId="11C7B905" w14:textId="42717A25">
      <w:pPr>
        <w:bidi w:val="0"/>
        <w:jc w:val="both"/>
      </w:pPr>
      <w:r w:rsidRPr="4A7CC396" w:rsidR="185BFE3D">
        <w:rPr>
          <w:rFonts w:ascii="Aptos" w:hAnsi="Aptos" w:eastAsia="Aptos" w:cs="Aptos"/>
          <w:noProof w:val="0"/>
          <w:color w:val="000000" w:themeColor="text1" w:themeTint="FF" w:themeShade="FF"/>
          <w:sz w:val="20"/>
          <w:szCs w:val="20"/>
          <w:lang w:val="en-US"/>
        </w:rPr>
        <w:t xml:space="preserve">Within the automated evaluation framework used in this study, Claude </w:t>
      </w:r>
      <w:r w:rsidRPr="4A7CC396" w:rsidR="185BFE3D">
        <w:rPr>
          <w:rFonts w:ascii="Aptos" w:hAnsi="Aptos" w:eastAsia="Aptos" w:cs="Aptos"/>
          <w:noProof w:val="0"/>
          <w:color w:val="000000" w:themeColor="text1" w:themeTint="FF" w:themeShade="FF"/>
          <w:sz w:val="20"/>
          <w:szCs w:val="20"/>
          <w:lang w:val="en-US"/>
        </w:rPr>
        <w:t>demonstrated</w:t>
      </w:r>
      <w:r w:rsidRPr="4A7CC396" w:rsidR="185BFE3D">
        <w:rPr>
          <w:rFonts w:ascii="Aptos" w:hAnsi="Aptos" w:eastAsia="Aptos" w:cs="Aptos"/>
          <w:noProof w:val="0"/>
          <w:color w:val="000000" w:themeColor="text1" w:themeTint="FF" w:themeShade="FF"/>
          <w:sz w:val="20"/>
          <w:szCs w:val="20"/>
          <w:lang w:val="en-US"/>
        </w:rPr>
        <w:t xml:space="preserve"> the strongest overall output-quality profile and the most conservative maturity-scoring behavior under weak evidence conditions. In the Department of Education evaluation, Claude achieved an overall RAG quality score of 0.831, leading all models in Faithfulness at 0.863 and achieving near-perfect Evidence </w:t>
      </w:r>
      <w:r w:rsidRPr="4A7CC396" w:rsidR="185BFE3D">
        <w:rPr>
          <w:rFonts w:ascii="Aptos" w:hAnsi="Aptos" w:eastAsia="Aptos" w:cs="Aptos"/>
          <w:noProof w:val="0"/>
          <w:color w:val="000000" w:themeColor="text1" w:themeTint="FF" w:themeShade="FF"/>
          <w:sz w:val="20"/>
          <w:szCs w:val="20"/>
          <w:lang w:val="en-US"/>
        </w:rPr>
        <w:t>Groundedness</w:t>
      </w:r>
      <w:r w:rsidRPr="4A7CC396" w:rsidR="185BFE3D">
        <w:rPr>
          <w:rFonts w:ascii="Aptos" w:hAnsi="Aptos" w:eastAsia="Aptos" w:cs="Aptos"/>
          <w:noProof w:val="0"/>
          <w:color w:val="000000" w:themeColor="text1" w:themeTint="FF" w:themeShade="FF"/>
          <w:sz w:val="20"/>
          <w:szCs w:val="20"/>
          <w:lang w:val="en-US"/>
        </w:rPr>
        <w:t xml:space="preserve"> at 0.997. In the Scott and Scott evaluation, Claude achieved an overall score of 0.842 with an Evidence </w:t>
      </w:r>
      <w:r w:rsidRPr="4A7CC396" w:rsidR="185BFE3D">
        <w:rPr>
          <w:rFonts w:ascii="Aptos" w:hAnsi="Aptos" w:eastAsia="Aptos" w:cs="Aptos"/>
          <w:noProof w:val="0"/>
          <w:color w:val="000000" w:themeColor="text1" w:themeTint="FF" w:themeShade="FF"/>
          <w:sz w:val="20"/>
          <w:szCs w:val="20"/>
          <w:lang w:val="en-US"/>
        </w:rPr>
        <w:t>Groundedness</w:t>
      </w:r>
      <w:r w:rsidRPr="4A7CC396" w:rsidR="185BFE3D">
        <w:rPr>
          <w:rFonts w:ascii="Aptos" w:hAnsi="Aptos" w:eastAsia="Aptos" w:cs="Aptos"/>
          <w:noProof w:val="0"/>
          <w:color w:val="000000" w:themeColor="text1" w:themeTint="FF" w:themeShade="FF"/>
          <w:sz w:val="20"/>
          <w:szCs w:val="20"/>
          <w:lang w:val="en-US"/>
        </w:rPr>
        <w:t xml:space="preserve"> of 1.000, meaning every cited evidence quote was verified to exist in the source document. As illustrated in Fig. 6, in the more volatile Department of Education environment, Claude pushed its mean Evidence Relevance up to 0.626, significantly higher than its peers. In the more stable Scott and Scott environment, it produced a tight, efficient distribution focused around a 0.657 mean. As illustrated in Fig. 7, Claude's maturity classification behavior was notably conservative, heavily clustering evaluations at levels 1 (Initial) and 2 (Developing) and being the only model to aggressively assign level 0 (Not Implemented) when retrieved context was weak or fragmented, assigning over 20 to 30 controls to this level across both environments. This conservative behavior reduces the risk of false positive compliance claims, making Claude the more reliable choice for compliance-sensitive assessment tasks.</w:t>
      </w:r>
    </w:p>
    <w:p w:rsidR="60FC25AF" w:rsidP="4A7CC396" w:rsidRDefault="60FC25AF" w14:paraId="69352538" w14:textId="25C93F99">
      <w:pPr>
        <w:bidi w:val="0"/>
        <w:jc w:val="both"/>
      </w:pPr>
      <w:r w:rsidRPr="4A7CC396" w:rsidR="60FC25AF">
        <w:rPr>
          <w:rFonts w:ascii="Aptos" w:hAnsi="Aptos" w:eastAsia="Aptos" w:cs="Aptos"/>
          <w:noProof w:val="0"/>
          <w:color w:val="000000" w:themeColor="text1" w:themeTint="FF" w:themeShade="FF"/>
          <w:sz w:val="20"/>
          <w:szCs w:val="20"/>
          <w:lang w:val="en-US"/>
        </w:rPr>
        <w:t xml:space="preserve">GPT-4.1 and Llama 4 Maverick </w:t>
      </w:r>
      <w:r w:rsidRPr="4A7CC396" w:rsidR="60FC25AF">
        <w:rPr>
          <w:rFonts w:ascii="Aptos" w:hAnsi="Aptos" w:eastAsia="Aptos" w:cs="Aptos"/>
          <w:noProof w:val="0"/>
          <w:color w:val="000000" w:themeColor="text1" w:themeTint="FF" w:themeShade="FF"/>
          <w:sz w:val="20"/>
          <w:szCs w:val="20"/>
          <w:lang w:val="en-US"/>
        </w:rPr>
        <w:t>operated</w:t>
      </w:r>
      <w:r w:rsidRPr="4A7CC396" w:rsidR="60FC25AF">
        <w:rPr>
          <w:rFonts w:ascii="Aptos" w:hAnsi="Aptos" w:eastAsia="Aptos" w:cs="Aptos"/>
          <w:noProof w:val="0"/>
          <w:color w:val="000000" w:themeColor="text1" w:themeTint="FF" w:themeShade="FF"/>
          <w:sz w:val="20"/>
          <w:szCs w:val="20"/>
          <w:lang w:val="en-US"/>
        </w:rPr>
        <w:t xml:space="preserve"> with near-identical performance profiles across both documents, tightly tracking each other's metrics and overlapping </w:t>
      </w:r>
      <w:r w:rsidRPr="4A7CC396" w:rsidR="60FC25AF">
        <w:rPr>
          <w:rFonts w:ascii="Aptos" w:hAnsi="Aptos" w:eastAsia="Aptos" w:cs="Aptos"/>
          <w:noProof w:val="0"/>
          <w:color w:val="000000" w:themeColor="text1" w:themeTint="FF" w:themeShade="FF"/>
          <w:sz w:val="20"/>
          <w:szCs w:val="20"/>
          <w:lang w:val="en-US"/>
        </w:rPr>
        <w:t>almost completely</w:t>
      </w:r>
      <w:r w:rsidRPr="4A7CC396" w:rsidR="60FC25AF">
        <w:rPr>
          <w:rFonts w:ascii="Aptos" w:hAnsi="Aptos" w:eastAsia="Aptos" w:cs="Aptos"/>
          <w:noProof w:val="0"/>
          <w:color w:val="000000" w:themeColor="text1" w:themeTint="FF" w:themeShade="FF"/>
          <w:sz w:val="20"/>
          <w:szCs w:val="20"/>
          <w:lang w:val="en-US"/>
        </w:rPr>
        <w:t xml:space="preserve"> on the radar charts in Fig. 5. In the Department of Education evaluation, GPT-4.1 achieved an overall RAG score of 0.758 and Llama 4 Maverick achieved 0.760, with both scores bottlenecked by poor Evidence Relevance at 0.556 and 0.553 respectively; as Fig. 6 shows, both models' relevance distributions flatten into wide, bimodal shapes in this environment, with a substantial cluster of controls scoring below 0.4. In the Scott and Scott </w:t>
      </w:r>
      <w:r w:rsidRPr="4A7CC396" w:rsidR="60FC25AF">
        <w:rPr>
          <w:rFonts w:ascii="Aptos" w:hAnsi="Aptos" w:eastAsia="Aptos" w:cs="Aptos"/>
          <w:noProof w:val="0"/>
          <w:color w:val="000000" w:themeColor="text1" w:themeTint="FF" w:themeShade="FF"/>
          <w:sz w:val="20"/>
          <w:szCs w:val="20"/>
          <w:lang w:val="en-US"/>
        </w:rPr>
        <w:t>evaluation</w:t>
      </w:r>
      <w:r w:rsidRPr="4A7CC396" w:rsidR="60FC25AF">
        <w:rPr>
          <w:rFonts w:ascii="Aptos" w:hAnsi="Aptos" w:eastAsia="Aptos" w:cs="Aptos"/>
          <w:noProof w:val="0"/>
          <w:color w:val="000000" w:themeColor="text1" w:themeTint="FF" w:themeShade="FF"/>
          <w:sz w:val="20"/>
          <w:szCs w:val="20"/>
          <w:lang w:val="en-US"/>
        </w:rPr>
        <w:t xml:space="preserve"> both models recovered to overall scores of 0.789 and 0.786, with Evidence Relevance rising to 0.625 and 0.620 as the document environment stabilized and the histograms tightened into a single, cleaner peak. Despite this retrieval noise, both models overwhelmingly assigned controls to levels 2 (Developing) and 3 (Defined) while </w:t>
      </w:r>
      <w:r w:rsidRPr="4A7CC396" w:rsidR="60FC25AF">
        <w:rPr>
          <w:rFonts w:ascii="Aptos" w:hAnsi="Aptos" w:eastAsia="Aptos" w:cs="Aptos"/>
          <w:noProof w:val="0"/>
          <w:color w:val="000000" w:themeColor="text1" w:themeTint="FF" w:themeShade="FF"/>
          <w:sz w:val="20"/>
          <w:szCs w:val="20"/>
          <w:lang w:val="en-US"/>
        </w:rPr>
        <w:t>almost completely</w:t>
      </w:r>
      <w:r w:rsidRPr="4A7CC396" w:rsidR="60FC25AF">
        <w:rPr>
          <w:rFonts w:ascii="Aptos" w:hAnsi="Aptos" w:eastAsia="Aptos" w:cs="Aptos"/>
          <w:noProof w:val="0"/>
          <w:color w:val="000000" w:themeColor="text1" w:themeTint="FF" w:themeShade="FF"/>
          <w:sz w:val="20"/>
          <w:szCs w:val="20"/>
          <w:lang w:val="en-US"/>
        </w:rPr>
        <w:t xml:space="preserve"> refusing to assign level 0 (Not Implemented) or level 1 (Initial), as shown in Fig. 7. This behavior may increase the risk of false-positive compliance findings when retrieval quality is weak or noisy.</w:t>
      </w:r>
    </w:p>
    <w:p w:rsidR="3A3F20EC" w:rsidP="4A7CC396" w:rsidRDefault="3A3F20EC" w14:paraId="6D9666DE" w14:textId="11EB6CFD">
      <w:pPr>
        <w:pStyle w:val="Normal"/>
      </w:pPr>
      <w:r w:rsidR="3A3F20EC">
        <w:drawing>
          <wp:inline wp14:editId="3879D0E1" wp14:anchorId="46C12C0A">
            <wp:extent cx="2638425" cy="2638425"/>
            <wp:effectExtent l="0" t="0" r="0" b="0"/>
            <wp:docPr id="1170845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2658245" name="Picture 952658245"/>
                    <pic:cNvPicPr/>
                  </pic:nvPicPr>
                  <pic:blipFill>
                    <a:blip xmlns:r="http://schemas.openxmlformats.org/officeDocument/2006/relationships" r:embed="rId1680916046">
                      <a:extLst>
                        <a:ext uri="{28A0092B-C50C-407E-A947-70E740481C1C}">
                          <a14:useLocalDpi xmlns:a14="http://schemas.microsoft.com/office/drawing/2010/main"/>
                        </a:ext>
                      </a:extLst>
                    </a:blip>
                    <a:stretch>
                      <a:fillRect/>
                    </a:stretch>
                  </pic:blipFill>
                  <pic:spPr>
                    <a:xfrm rot="0">
                      <a:off x="0" y="0"/>
                      <a:ext cx="2638425" cy="2638425"/>
                    </a:xfrm>
                    <a:prstGeom prst="rect">
                      <a:avLst/>
                    </a:prstGeom>
                  </pic:spPr>
                </pic:pic>
              </a:graphicData>
            </a:graphic>
          </wp:inline>
        </w:drawing>
      </w:r>
      <w:r w:rsidR="3A3F20EC">
        <w:rPr/>
        <w:t xml:space="preserve">Fig. 5(a). </w:t>
      </w:r>
      <w:r w:rsidRPr="4A7CC396" w:rsidR="3A3F20EC">
        <w:rPr>
          <w:rFonts w:ascii="Aptos" w:hAnsi="Aptos" w:eastAsia="Aptos" w:cs="Aptos"/>
          <w:noProof w:val="0"/>
          <w:color w:val="000000" w:themeColor="text1" w:themeTint="FF" w:themeShade="FF"/>
          <w:sz w:val="20"/>
          <w:szCs w:val="20"/>
          <w:lang w:val="en"/>
        </w:rPr>
        <w:t>RAG Quality Profiles - Department of Education Environment</w:t>
      </w:r>
    </w:p>
    <w:p w:rsidR="4A7CC396" w:rsidP="4A7CC396" w:rsidRDefault="4A7CC396" w14:paraId="14111047" w14:textId="520669DF">
      <w:pPr>
        <w:pStyle w:val="Normal"/>
        <w:bidi w:val="0"/>
        <w:rPr>
          <w:rFonts w:ascii="Aptos" w:hAnsi="Aptos" w:eastAsia="Aptos" w:cs="Aptos"/>
          <w:noProof w:val="0"/>
          <w:color w:val="000000" w:themeColor="text1" w:themeTint="FF" w:themeShade="FF"/>
          <w:sz w:val="20"/>
          <w:szCs w:val="20"/>
          <w:lang w:val="en"/>
        </w:rPr>
      </w:pPr>
    </w:p>
    <w:p w:rsidR="3A3F20EC" w:rsidP="4A7CC396" w:rsidRDefault="3A3F20EC" w14:paraId="6377D0FC" w14:textId="2B7A0D98">
      <w:pPr>
        <w:pStyle w:val="Normal"/>
      </w:pPr>
      <w:r w:rsidR="3A3F20EC">
        <w:drawing>
          <wp:inline wp14:editId="1D1BA172" wp14:anchorId="2CEE9561">
            <wp:extent cx="2647950" cy="2647950"/>
            <wp:effectExtent l="0" t="0" r="0" b="0"/>
            <wp:docPr id="8146960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3540840" name="Picture 1503540840"/>
                    <pic:cNvPicPr/>
                  </pic:nvPicPr>
                  <pic:blipFill>
                    <a:blip xmlns:r="http://schemas.openxmlformats.org/officeDocument/2006/relationships" r:embed="rId1602592515">
                      <a:extLst>
                        <a:ext uri="{28A0092B-C50C-407E-A947-70E740481C1C}">
                          <a14:useLocalDpi xmlns:a14="http://schemas.microsoft.com/office/drawing/2010/main"/>
                        </a:ext>
                      </a:extLst>
                    </a:blip>
                    <a:stretch>
                      <a:fillRect/>
                    </a:stretch>
                  </pic:blipFill>
                  <pic:spPr>
                    <a:xfrm rot="0">
                      <a:off x="0" y="0"/>
                      <a:ext cx="2647950" cy="2647950"/>
                    </a:xfrm>
                    <a:prstGeom prst="rect">
                      <a:avLst/>
                    </a:prstGeom>
                  </pic:spPr>
                </pic:pic>
              </a:graphicData>
            </a:graphic>
          </wp:inline>
        </w:drawing>
      </w:r>
    </w:p>
    <w:p w:rsidR="3A3F20EC" w:rsidP="4A7CC396" w:rsidRDefault="3A3F20EC" w14:paraId="77072F83" w14:textId="4492C528">
      <w:pPr>
        <w:pStyle w:val="Normal"/>
        <w:bidi w:val="0"/>
        <w:spacing w:after="240" w:afterAutospacing="off"/>
      </w:pPr>
      <w:r w:rsidRPr="4A7CC396" w:rsidR="3A3F20EC">
        <w:rPr>
          <w:noProof w:val="0"/>
          <w:color w:val="000000" w:themeColor="text1" w:themeTint="FF" w:themeShade="FF"/>
          <w:lang w:val="en"/>
        </w:rPr>
        <w:t>Fig. 5(b). RAG Quality Profiles — Scott &amp; Scott Environment</w:t>
      </w:r>
    </w:p>
    <w:p w:rsidR="4A7CC396" w:rsidP="4A7CC396" w:rsidRDefault="4A7CC396" w14:paraId="0A653D9B" w14:textId="5908467E">
      <w:pPr>
        <w:bidi w:val="0"/>
        <w:jc w:val="both"/>
        <w:rPr>
          <w:rFonts w:ascii="Aptos" w:hAnsi="Aptos" w:eastAsia="Aptos" w:cs="Aptos"/>
          <w:noProof w:val="0"/>
          <w:color w:val="000000" w:themeColor="text1" w:themeTint="FF" w:themeShade="FF"/>
          <w:sz w:val="20"/>
          <w:szCs w:val="20"/>
          <w:lang w:val="en-US"/>
        </w:rPr>
      </w:pPr>
    </w:p>
    <w:p w:rsidR="4A7CC396" w:rsidP="4A7CC396" w:rsidRDefault="4A7CC396" w14:paraId="5CFDED08" w14:textId="4EC55DCA">
      <w:pPr>
        <w:pStyle w:val="Normal"/>
        <w:bidi w:val="0"/>
        <w:spacing w:before="0" w:beforeAutospacing="off" w:after="0" w:afterAutospacing="off"/>
        <w:jc w:val="both"/>
        <w:rPr>
          <w:rFonts w:ascii="Aptos" w:hAnsi="Aptos" w:eastAsia="Aptos" w:cs="Aptos"/>
          <w:noProof w:val="0"/>
          <w:color w:val="000000" w:themeColor="text1" w:themeTint="FF" w:themeShade="FF"/>
          <w:sz w:val="20"/>
          <w:szCs w:val="20"/>
          <w:lang w:val="en-US"/>
        </w:rPr>
      </w:pPr>
    </w:p>
    <w:p w:rsidR="7207FC28" w:rsidP="4A7CC396" w:rsidRDefault="7207FC28" w14:paraId="7F9F027E" w14:textId="47FB4599">
      <w:pPr>
        <w:pStyle w:val="Normal"/>
        <w:bidi w:val="0"/>
        <w:spacing w:before="0" w:beforeAutospacing="off" w:after="0" w:afterAutospacing="off"/>
        <w:jc w:val="both"/>
      </w:pPr>
      <w:r w:rsidR="7207FC28">
        <w:drawing>
          <wp:inline wp14:editId="0E2B58AF" wp14:anchorId="6D407CB0">
            <wp:extent cx="2962275" cy="885825"/>
            <wp:effectExtent l="0" t="0" r="0" b="0"/>
            <wp:docPr id="18484892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8489234" name="Picture 1848489234"/>
                    <pic:cNvPicPr/>
                  </pic:nvPicPr>
                  <pic:blipFill>
                    <a:blip xmlns:r="http://schemas.openxmlformats.org/officeDocument/2006/relationships" r:embed="rId1864353218">
                      <a:extLst>
                        <a:ext uri="{28A0092B-C50C-407E-A947-70E740481C1C}">
                          <a14:useLocalDpi xmlns:a14="http://schemas.microsoft.com/office/drawing/2010/main"/>
                        </a:ext>
                      </a:extLst>
                    </a:blip>
                    <a:stretch>
                      <a:fillRect/>
                    </a:stretch>
                  </pic:blipFill>
                  <pic:spPr>
                    <a:xfrm>
                      <a:off x="0" y="0"/>
                      <a:ext cx="2962275" cy="885825"/>
                    </a:xfrm>
                    <a:prstGeom prst="rect">
                      <a:avLst/>
                    </a:prstGeom>
                  </pic:spPr>
                </pic:pic>
              </a:graphicData>
            </a:graphic>
          </wp:inline>
        </w:drawing>
      </w:r>
      <w:r w:rsidRPr="4A7CC396" w:rsidR="7207FC28">
        <w:rPr>
          <w:rFonts w:ascii="Aptos" w:hAnsi="Aptos" w:eastAsia="Aptos" w:cs="Aptos"/>
          <w:noProof w:val="0"/>
          <w:color w:val="000000" w:themeColor="text1" w:themeTint="FF" w:themeShade="FF"/>
          <w:sz w:val="20"/>
          <w:szCs w:val="20"/>
          <w:lang w:val="en"/>
        </w:rPr>
        <w:t>Fig. 6(a). Evidence Relevance Histograms - Department of Education Environment</w:t>
      </w:r>
    </w:p>
    <w:p w:rsidR="4A7CC396" w:rsidP="4A7CC396" w:rsidRDefault="4A7CC396" w14:paraId="2A1240E2" w14:textId="79DACC0C">
      <w:pPr>
        <w:pStyle w:val="Normal"/>
        <w:bidi w:val="0"/>
        <w:spacing w:before="0" w:beforeAutospacing="off" w:after="0" w:afterAutospacing="off"/>
        <w:jc w:val="both"/>
        <w:rPr>
          <w:rFonts w:ascii="Aptos" w:hAnsi="Aptos" w:eastAsia="Aptos" w:cs="Aptos"/>
          <w:noProof w:val="0"/>
          <w:color w:val="000000" w:themeColor="text1" w:themeTint="FF" w:themeShade="FF"/>
          <w:sz w:val="20"/>
          <w:szCs w:val="20"/>
          <w:lang w:val="en"/>
        </w:rPr>
      </w:pPr>
    </w:p>
    <w:p w:rsidR="7207FC28" w:rsidP="4A7CC396" w:rsidRDefault="7207FC28" w14:paraId="1E200B0C" w14:textId="5A5F640F">
      <w:pPr>
        <w:pStyle w:val="Normal"/>
        <w:bidi w:val="0"/>
        <w:spacing w:before="0" w:beforeAutospacing="off" w:after="0" w:afterAutospacing="off"/>
        <w:jc w:val="both"/>
      </w:pPr>
      <w:r w:rsidR="7207FC28">
        <w:drawing>
          <wp:inline wp14:editId="1DA9FF94" wp14:anchorId="2CA89E19">
            <wp:extent cx="2962275" cy="885825"/>
            <wp:effectExtent l="0" t="0" r="0" b="0"/>
            <wp:docPr id="2147343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734304" name="Picture 214734304"/>
                    <pic:cNvPicPr/>
                  </pic:nvPicPr>
                  <pic:blipFill>
                    <a:blip xmlns:r="http://schemas.openxmlformats.org/officeDocument/2006/relationships" r:embed="rId1055621359">
                      <a:extLst>
                        <a:ext uri="{28A0092B-C50C-407E-A947-70E740481C1C}">
                          <a14:useLocalDpi xmlns:a14="http://schemas.microsoft.com/office/drawing/2010/main"/>
                        </a:ext>
                      </a:extLst>
                    </a:blip>
                    <a:stretch>
                      <a:fillRect/>
                    </a:stretch>
                  </pic:blipFill>
                  <pic:spPr>
                    <a:xfrm>
                      <a:off x="0" y="0"/>
                      <a:ext cx="2962275" cy="885825"/>
                    </a:xfrm>
                    <a:prstGeom prst="rect">
                      <a:avLst/>
                    </a:prstGeom>
                  </pic:spPr>
                </pic:pic>
              </a:graphicData>
            </a:graphic>
          </wp:inline>
        </w:drawing>
      </w:r>
      <w:r w:rsidRPr="4A7CC396" w:rsidR="7207FC28">
        <w:rPr>
          <w:rFonts w:ascii="Aptos" w:hAnsi="Aptos" w:eastAsia="Aptos" w:cs="Aptos"/>
          <w:noProof w:val="0"/>
          <w:color w:val="000000" w:themeColor="text1" w:themeTint="FF" w:themeShade="FF"/>
          <w:sz w:val="20"/>
          <w:szCs w:val="20"/>
          <w:lang w:val="en"/>
        </w:rPr>
        <w:t>Fig. 6(b). Evidence Relevance Histograms - Scott &amp; Scott Environment</w:t>
      </w:r>
    </w:p>
    <w:p w:rsidR="4A7CC396" w:rsidP="4A7CC396" w:rsidRDefault="4A7CC396" w14:paraId="7667CC79" w14:textId="705BC32D">
      <w:pPr>
        <w:pStyle w:val="Normal"/>
        <w:bidi w:val="0"/>
        <w:spacing w:before="0" w:beforeAutospacing="off" w:after="0" w:afterAutospacing="off"/>
        <w:jc w:val="both"/>
        <w:rPr>
          <w:rFonts w:ascii="Aptos" w:hAnsi="Aptos" w:eastAsia="Aptos" w:cs="Aptos"/>
          <w:noProof w:val="0"/>
          <w:color w:val="000000" w:themeColor="text1" w:themeTint="FF" w:themeShade="FF"/>
          <w:sz w:val="20"/>
          <w:szCs w:val="20"/>
          <w:lang w:val="en"/>
        </w:rPr>
      </w:pPr>
    </w:p>
    <w:p w:rsidR="7207FC28" w:rsidP="4A7CC396" w:rsidRDefault="7207FC28" w14:paraId="7B899A4D" w14:textId="3FAEECD2">
      <w:pPr>
        <w:pStyle w:val="Normal"/>
        <w:bidi w:val="0"/>
        <w:spacing w:before="0" w:beforeAutospacing="off" w:after="0" w:afterAutospacing="off"/>
        <w:jc w:val="both"/>
      </w:pPr>
      <w:r w:rsidR="7207FC28">
        <w:drawing>
          <wp:inline wp14:editId="6F5E8A66" wp14:anchorId="5F1665E6">
            <wp:extent cx="2962275" cy="1485900"/>
            <wp:effectExtent l="0" t="0" r="0" b="0"/>
            <wp:docPr id="1895536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5536726" name="Picture 1895536726"/>
                    <pic:cNvPicPr/>
                  </pic:nvPicPr>
                  <pic:blipFill>
                    <a:blip xmlns:r="http://schemas.openxmlformats.org/officeDocument/2006/relationships" r:embed="rId1278854744">
                      <a:extLst>
                        <a:ext uri="{28A0092B-C50C-407E-A947-70E740481C1C}">
                          <a14:useLocalDpi xmlns:a14="http://schemas.microsoft.com/office/drawing/2010/main"/>
                        </a:ext>
                      </a:extLst>
                    </a:blip>
                    <a:stretch>
                      <a:fillRect/>
                    </a:stretch>
                  </pic:blipFill>
                  <pic:spPr>
                    <a:xfrm>
                      <a:off x="0" y="0"/>
                      <a:ext cx="2962275" cy="1485900"/>
                    </a:xfrm>
                    <a:prstGeom prst="rect">
                      <a:avLst/>
                    </a:prstGeom>
                  </pic:spPr>
                </pic:pic>
              </a:graphicData>
            </a:graphic>
          </wp:inline>
        </w:drawing>
      </w:r>
      <w:r w:rsidRPr="4A7CC396" w:rsidR="7207FC28">
        <w:rPr>
          <w:rFonts w:ascii="Aptos" w:hAnsi="Aptos" w:eastAsia="Aptos" w:cs="Aptos"/>
          <w:noProof w:val="0"/>
          <w:color w:val="000000" w:themeColor="text1" w:themeTint="FF" w:themeShade="FF"/>
          <w:sz w:val="20"/>
          <w:szCs w:val="20"/>
          <w:lang w:val="en"/>
        </w:rPr>
        <w:t>Fig. 7(a). Maturity Score Distributions - Department of Education Environment</w:t>
      </w:r>
    </w:p>
    <w:p w:rsidR="4A7CC396" w:rsidP="4A7CC396" w:rsidRDefault="4A7CC396" w14:paraId="0EE084CD" w14:textId="48C76832">
      <w:pPr>
        <w:pStyle w:val="Normal"/>
        <w:bidi w:val="0"/>
        <w:spacing w:before="0" w:beforeAutospacing="off" w:after="0" w:afterAutospacing="off"/>
        <w:jc w:val="both"/>
        <w:rPr>
          <w:rFonts w:ascii="Aptos" w:hAnsi="Aptos" w:eastAsia="Aptos" w:cs="Aptos"/>
          <w:noProof w:val="0"/>
          <w:color w:val="000000" w:themeColor="text1" w:themeTint="FF" w:themeShade="FF"/>
          <w:sz w:val="20"/>
          <w:szCs w:val="20"/>
          <w:lang w:val="en"/>
        </w:rPr>
      </w:pPr>
    </w:p>
    <w:p w:rsidR="7207FC28" w:rsidP="4A7CC396" w:rsidRDefault="7207FC28" w14:paraId="49AB346C" w14:textId="223F0CFC">
      <w:pPr>
        <w:pStyle w:val="Normal"/>
        <w:bidi w:val="0"/>
        <w:spacing w:before="0" w:beforeAutospacing="off" w:after="240" w:afterAutospacing="off"/>
        <w:jc w:val="both"/>
      </w:pPr>
      <w:r w:rsidR="7207FC28">
        <w:drawing>
          <wp:inline wp14:editId="68962013" wp14:anchorId="3EB8AEE8">
            <wp:extent cx="2962275" cy="1485900"/>
            <wp:effectExtent l="0" t="0" r="0" b="0"/>
            <wp:docPr id="7648127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4812790" name="Picture 764812790"/>
                    <pic:cNvPicPr/>
                  </pic:nvPicPr>
                  <pic:blipFill>
                    <a:blip xmlns:r="http://schemas.openxmlformats.org/officeDocument/2006/relationships" r:embed="rId1298840832">
                      <a:extLst>
                        <a:ext uri="{28A0092B-C50C-407E-A947-70E740481C1C}">
                          <a14:useLocalDpi xmlns:a14="http://schemas.microsoft.com/office/drawing/2010/main"/>
                        </a:ext>
                      </a:extLst>
                    </a:blip>
                    <a:stretch>
                      <a:fillRect/>
                    </a:stretch>
                  </pic:blipFill>
                  <pic:spPr>
                    <a:xfrm>
                      <a:off x="0" y="0"/>
                      <a:ext cx="2962275" cy="1485900"/>
                    </a:xfrm>
                    <a:prstGeom prst="rect">
                      <a:avLst/>
                    </a:prstGeom>
                  </pic:spPr>
                </pic:pic>
              </a:graphicData>
            </a:graphic>
          </wp:inline>
        </w:drawing>
      </w:r>
      <w:r w:rsidRPr="4A7CC396" w:rsidR="7207FC28">
        <w:rPr>
          <w:rFonts w:ascii="Aptos" w:hAnsi="Aptos" w:eastAsia="Aptos" w:cs="Aptos"/>
          <w:noProof w:val="0"/>
          <w:color w:val="000000" w:themeColor="text1" w:themeTint="FF" w:themeShade="FF"/>
          <w:sz w:val="20"/>
          <w:szCs w:val="20"/>
          <w:lang w:val="en"/>
        </w:rPr>
        <w:t>Fig. 7(b). Maturity Score Distributions - Scott &amp; Scott Environment</w:t>
      </w:r>
    </w:p>
    <w:p w:rsidR="672373BD" w:rsidP="6F0FB94D" w:rsidRDefault="672373BD" w14:paraId="0355CD84" w14:textId="4D63A685">
      <w:pPr>
        <w:pStyle w:val="Normal"/>
        <w:bidi w:val="0"/>
        <w:spacing w:before="0" w:beforeAutospacing="off" w:after="0" w:afterAutospacing="off"/>
        <w:jc w:val="both"/>
      </w:pPr>
      <w:r w:rsidRPr="4A7CC396" w:rsidR="672373BD">
        <w:rPr>
          <w:rFonts w:ascii="Aptos" w:hAnsi="Aptos" w:eastAsia="Aptos" w:cs="Aptos"/>
          <w:noProof w:val="0"/>
          <w:sz w:val="20"/>
          <w:szCs w:val="20"/>
          <w:lang w:val="en-US"/>
        </w:rPr>
        <w:t>These findings support the provisional selection of Claude as the primary base LLM for the current GRC-LLM prototype. Within the automated evaluation framework, Claude achieved the strongest overall output-quality scores and demonstrated more conservative maturity-scoring behavior when supporting evidence was weak. However, expert-labeled evaluation is still required before concluding that Claude produces objectively more accurate compliance assessments. GPT-4.1 and Llama 4 Maverick may remain viable alternatives when retrieval quality is tightly controlled, but their tendency to assign higher maturity levels under low-relevance evidence may increase the risk of false-positive compliance findings.</w:t>
      </w:r>
    </w:p>
    <w:p w:rsidR="61F9B131" w:rsidP="4A7CC396" w:rsidRDefault="61F9B131" w14:paraId="0938422E" w14:textId="12C193D2">
      <w:pPr>
        <w:pStyle w:val="Heading2"/>
        <w:keepNext w:val="1"/>
        <w:keepLines w:val="1"/>
        <w:bidi w:val="0"/>
        <w:spacing w:before="180" w:after="60"/>
        <w:rPr>
          <w:rFonts w:ascii="Times New Roman" w:hAnsi="Times New Roman" w:eastAsia="Times New Roman" w:cs="Times New Roman"/>
          <w:b w:val="0"/>
          <w:bCs w:val="0"/>
          <w:i w:val="1"/>
          <w:iCs w:val="1"/>
          <w:noProof w:val="0"/>
          <w:color w:val="000000" w:themeColor="text1" w:themeTint="FF" w:themeShade="FF"/>
          <w:lang w:val="en"/>
        </w:rPr>
      </w:pPr>
      <w:r w:rsidRPr="4A7CC396" w:rsidR="2380FB99">
        <w:rPr>
          <w:rFonts w:ascii="Times New Roman" w:hAnsi="Times New Roman" w:eastAsia="Times New Roman" w:cs="Times New Roman"/>
          <w:i w:val="1"/>
          <w:iCs w:val="1"/>
          <w:noProof w:val="0"/>
          <w:sz w:val="20"/>
          <w:szCs w:val="20"/>
          <w:lang w:val="en"/>
        </w:rPr>
        <w:t>VI.</w:t>
      </w:r>
      <w:r w:rsidRPr="4A7CC396" w:rsidR="2380FB99">
        <w:rPr>
          <w:rFonts w:ascii="Times New Roman" w:hAnsi="Times New Roman" w:eastAsia="Times New Roman" w:cs="Times New Roman"/>
          <w:b w:val="0"/>
          <w:bCs w:val="0"/>
          <w:i w:val="1"/>
          <w:iCs w:val="1"/>
          <w:noProof w:val="0"/>
          <w:sz w:val="20"/>
          <w:szCs w:val="20"/>
          <w:lang w:val="en"/>
        </w:rPr>
        <w:t xml:space="preserve">  </w:t>
      </w:r>
      <w:r w:rsidRPr="4A7CC396" w:rsidR="11C3FC3B">
        <w:rPr>
          <w:rFonts w:ascii="Times New Roman" w:hAnsi="Times New Roman" w:eastAsia="Times New Roman" w:cs="Times New Roman"/>
          <w:b w:val="0"/>
          <w:bCs w:val="0"/>
          <w:i w:val="1"/>
          <w:iCs w:val="1"/>
          <w:noProof w:val="0"/>
          <w:color w:val="000000" w:themeColor="text1" w:themeTint="FF" w:themeShade="FF"/>
          <w:lang w:val="en"/>
        </w:rPr>
        <w:t>Private versus Public Sector Comparison</w:t>
      </w:r>
    </w:p>
    <w:p w:rsidR="61F9B131" w:rsidP="4A7CC396" w:rsidRDefault="61F9B131" w14:paraId="1DFE6B5A" w14:textId="7BB5299C">
      <w:pPr>
        <w:keepNext w:val="1"/>
        <w:keepLines w:val="1"/>
        <w:bidi w:val="0"/>
        <w:spacing w:before="240" w:beforeAutospacing="off" w:after="0" w:afterAutospacing="off"/>
        <w:jc w:val="both"/>
      </w:pPr>
      <w:r w:rsidRPr="4A7CC396" w:rsidR="2380FB99">
        <w:rPr>
          <w:rFonts w:ascii="Aptos" w:hAnsi="Aptos" w:eastAsia="Aptos" w:cs="Aptos"/>
          <w:noProof w:val="0"/>
          <w:color w:val="000000" w:themeColor="text1" w:themeTint="FF" w:themeShade="FF"/>
          <w:sz w:val="20"/>
          <w:szCs w:val="20"/>
          <w:lang w:val="en-US"/>
        </w:rPr>
        <w:t>This analysis compares AI-generated cybersecurity maturity assessments conducted on two organizational policy datasets, the U.S. Department of Education, representing a public sector organization, and the Scott and Scott Written Information Security Policy, representing a private sector organization, to determine whether organizational context influences cybersecurity maturity assessments across multiple cybersecurity frameworks. Each organization's policy documentation was independently evaluated using the same AI-assisted maturity assessment methodology across all nine frameworks. To improve the robustness of the comparison and reduce reliance on any single model's scoring behavior, three independent LLMs, Claude, GPT-4.1, and Llama 4 Maverick, evaluated both policy documents using an identical assessment prompt, assigning maturity scores on the standardized 0 to 5 scale.</w:t>
      </w:r>
    </w:p>
    <w:p w:rsidR="61F9B131" w:rsidP="4A7CC396" w:rsidRDefault="61F9B131" w14:paraId="4694BFCA" w14:textId="3CB388D4">
      <w:pPr>
        <w:keepNext w:val="1"/>
        <w:keepLines w:val="1"/>
        <w:bidi w:val="0"/>
        <w:spacing w:before="0" w:beforeAutospacing="off" w:after="0" w:afterAutospacing="off"/>
        <w:jc w:val="both"/>
      </w:pPr>
      <w:r w:rsidRPr="4A7CC396" w:rsidR="2380FB99">
        <w:rPr>
          <w:rFonts w:ascii="Aptos" w:hAnsi="Aptos" w:eastAsia="Aptos" w:cs="Aptos"/>
          <w:noProof w:val="0"/>
          <w:color w:val="000000" w:themeColor="text1" w:themeTint="FF" w:themeShade="FF"/>
          <w:sz w:val="20"/>
          <w:szCs w:val="20"/>
          <w:lang w:val="en-US"/>
        </w:rPr>
        <w:t>For each framework, a Private Sector Mean Score and a Public Sector Mean Score were calculated by averaging the maturity scores assigned by the three models:</w:t>
      </w:r>
    </w:p>
    <w:p w:rsidR="61F9B131" w:rsidP="4A7CC396" w:rsidRDefault="61F9B131" w14:paraId="4A161E60" w14:textId="076A6DD4">
      <w:pPr>
        <w:pStyle w:val="Normal"/>
        <w:keepNext w:val="1"/>
        <w:keepLines w:val="1"/>
        <w:bidi w:val="0"/>
        <w:spacing w:before="0" w:beforeAutospacing="off" w:after="0" w:afterAutospacing="off"/>
        <w:jc w:val="both"/>
      </w:pPr>
      <w:r w:rsidRPr="4A7CC396" w:rsidR="55D0888A">
        <w:rPr>
          <w:rFonts w:ascii="Aptos" w:hAnsi="Aptos" w:eastAsia="Aptos" w:cs="Aptos"/>
          <w:noProof w:val="0"/>
          <w:color w:val="000000" w:themeColor="text1" w:themeTint="FF" w:themeShade="FF"/>
          <w:sz w:val="20"/>
          <w:szCs w:val="20"/>
          <w:lang w:val="en-US"/>
        </w:rPr>
        <w:t>Sector Mean Score = (Claude + GPT-4.1 + Llama 4 Maverick) / 3</w:t>
      </w:r>
    </w:p>
    <w:p w:rsidR="61F9B131" w:rsidP="4A7CC396" w:rsidRDefault="61F9B131" w14:paraId="437DD473" w14:textId="4B056E3B">
      <w:pPr>
        <w:pStyle w:val="Normal"/>
        <w:keepNext w:val="1"/>
        <w:keepLines w:val="1"/>
        <w:bidi w:val="0"/>
        <w:spacing w:before="0" w:beforeAutospacing="off" w:after="0" w:afterAutospacing="off"/>
        <w:jc w:val="both"/>
      </w:pPr>
      <w:r w:rsidRPr="4A7CC396" w:rsidR="55D0888A">
        <w:rPr>
          <w:rFonts w:ascii="Aptos" w:hAnsi="Aptos" w:eastAsia="Aptos" w:cs="Aptos"/>
          <w:noProof w:val="0"/>
          <w:color w:val="000000" w:themeColor="text1" w:themeTint="FF" w:themeShade="FF"/>
          <w:sz w:val="20"/>
          <w:szCs w:val="20"/>
          <w:lang w:val="en-US"/>
        </w:rPr>
        <w:t>The Organizational Difference (Δ) was then calculated as the absolute difference between the private-sector and public-sector mean scores:</w:t>
      </w:r>
    </w:p>
    <w:p w:rsidR="61F9B131" w:rsidP="4A7CC396" w:rsidRDefault="61F9B131" w14:paraId="6BC2A2E5" w14:textId="78EC1177">
      <w:pPr>
        <w:pStyle w:val="Normal"/>
        <w:keepNext w:val="1"/>
        <w:keepLines w:val="1"/>
        <w:bidi w:val="0"/>
        <w:spacing w:before="0" w:beforeAutospacing="off" w:after="0" w:afterAutospacing="off"/>
        <w:jc w:val="both"/>
      </w:pPr>
      <w:r w:rsidRPr="4A7CC396" w:rsidR="55D0888A">
        <w:rPr>
          <w:rFonts w:ascii="Aptos" w:hAnsi="Aptos" w:eastAsia="Aptos" w:cs="Aptos"/>
          <w:noProof w:val="0"/>
          <w:color w:val="000000" w:themeColor="text1" w:themeTint="FF" w:themeShade="FF"/>
          <w:sz w:val="20"/>
          <w:szCs w:val="20"/>
          <w:lang w:val="en-US"/>
        </w:rPr>
        <w:t>Δ = | Private Sector Mean Score − Public Sector Mean Score |</w:t>
      </w:r>
    </w:p>
    <w:p w:rsidR="61F9B131" w:rsidP="4A7CC396" w:rsidRDefault="61F9B131" w14:paraId="2E89BE44" w14:textId="09708438">
      <w:pPr>
        <w:keepNext w:val="1"/>
        <w:keepLines w:val="1"/>
        <w:bidi w:val="0"/>
        <w:spacing w:before="0" w:beforeAutospacing="off" w:after="0" w:afterAutospacing="off"/>
        <w:jc w:val="both"/>
      </w:pPr>
      <w:r w:rsidRPr="4A7CC396" w:rsidR="55D0888A">
        <w:rPr>
          <w:rFonts w:ascii="Aptos" w:hAnsi="Aptos" w:eastAsia="Aptos" w:cs="Aptos"/>
          <w:noProof w:val="0"/>
          <w:color w:val="000000" w:themeColor="text1" w:themeTint="FF" w:themeShade="FF"/>
          <w:sz w:val="20"/>
          <w:szCs w:val="20"/>
          <w:lang w:val="en-US"/>
        </w:rPr>
        <w:t>Lower Δ values indicate that both organizations achieved comparable maturity assessments despite differences in organizational context and policy documentation, while higher values indicate that a framework was more sensitive to organizational context. This analytical approach was selected because the objective was to evaluate the effect of organizational context rather than to compare the performance of individual models; prior to conducting the analysis, the research team expected the distinct governance structures, regulatory obligations, and security priorities of the two organizations to produce substantial variation in maturity assessments.</w:t>
      </w:r>
    </w:p>
    <w:p w:rsidR="61F9B131" w:rsidP="4A7CC396" w:rsidRDefault="61F9B131" w14:paraId="707DD656" w14:textId="0109D0A7">
      <w:pPr>
        <w:keepNext w:val="1"/>
        <w:keepLines w:val="1"/>
        <w:bidi w:val="0"/>
        <w:spacing w:before="0" w:beforeAutospacing="off" w:after="0" w:afterAutospacing="off"/>
        <w:jc w:val="both"/>
      </w:pPr>
      <w:r w:rsidRPr="4A7CC396" w:rsidR="55D0888A">
        <w:rPr>
          <w:rFonts w:ascii="Aptos" w:hAnsi="Aptos" w:eastAsia="Aptos" w:cs="Aptos"/>
          <w:noProof w:val="0"/>
          <w:color w:val="000000" w:themeColor="text1" w:themeTint="FF" w:themeShade="FF"/>
          <w:sz w:val="20"/>
          <w:szCs w:val="20"/>
          <w:lang w:val="en-US"/>
        </w:rPr>
        <w:t xml:space="preserve">Table </w:t>
      </w:r>
      <w:r w:rsidRPr="4A7CC396" w:rsidR="2E213C43">
        <w:rPr>
          <w:rFonts w:ascii="Aptos" w:hAnsi="Aptos" w:eastAsia="Aptos" w:cs="Aptos"/>
          <w:noProof w:val="0"/>
          <w:color w:val="000000" w:themeColor="text1" w:themeTint="FF" w:themeShade="FF"/>
          <w:sz w:val="20"/>
          <w:szCs w:val="20"/>
          <w:lang w:val="en-US"/>
        </w:rPr>
        <w:t>4</w:t>
      </w:r>
      <w:r w:rsidRPr="4A7CC396" w:rsidR="55D0888A">
        <w:rPr>
          <w:rFonts w:ascii="Aptos" w:hAnsi="Aptos" w:eastAsia="Aptos" w:cs="Aptos"/>
          <w:noProof w:val="0"/>
          <w:color w:val="000000" w:themeColor="text1" w:themeTint="FF" w:themeShade="FF"/>
          <w:sz w:val="20"/>
          <w:szCs w:val="20"/>
          <w:lang w:val="en-US"/>
        </w:rPr>
        <w:t xml:space="preserve"> and Table </w:t>
      </w:r>
      <w:r w:rsidRPr="4A7CC396" w:rsidR="0C08A785">
        <w:rPr>
          <w:rFonts w:ascii="Aptos" w:hAnsi="Aptos" w:eastAsia="Aptos" w:cs="Aptos"/>
          <w:noProof w:val="0"/>
          <w:color w:val="000000" w:themeColor="text1" w:themeTint="FF" w:themeShade="FF"/>
          <w:sz w:val="20"/>
          <w:szCs w:val="20"/>
          <w:lang w:val="en-US"/>
        </w:rPr>
        <w:t>5</w:t>
      </w:r>
      <w:r w:rsidRPr="4A7CC396" w:rsidR="55D0888A">
        <w:rPr>
          <w:rFonts w:ascii="Aptos" w:hAnsi="Aptos" w:eastAsia="Aptos" w:cs="Aptos"/>
          <w:noProof w:val="0"/>
          <w:color w:val="000000" w:themeColor="text1" w:themeTint="FF" w:themeShade="FF"/>
          <w:sz w:val="20"/>
          <w:szCs w:val="20"/>
          <w:lang w:val="en-US"/>
        </w:rPr>
        <w:t xml:space="preserve"> present the maturity scores independently assigned by each model for the public-sector and private-sector organizations respectively, with the Controls Assessed column </w:t>
      </w:r>
      <w:r w:rsidRPr="4A7CC396" w:rsidR="55D0888A">
        <w:rPr>
          <w:rFonts w:ascii="Aptos" w:hAnsi="Aptos" w:eastAsia="Aptos" w:cs="Aptos"/>
          <w:noProof w:val="0"/>
          <w:color w:val="000000" w:themeColor="text1" w:themeTint="FF" w:themeShade="FF"/>
          <w:sz w:val="20"/>
          <w:szCs w:val="20"/>
          <w:lang w:val="en-US"/>
        </w:rPr>
        <w:t>indicating</w:t>
      </w:r>
      <w:r w:rsidRPr="4A7CC396" w:rsidR="55D0888A">
        <w:rPr>
          <w:rFonts w:ascii="Aptos" w:hAnsi="Aptos" w:eastAsia="Aptos" w:cs="Aptos"/>
          <w:noProof w:val="0"/>
          <w:color w:val="000000" w:themeColor="text1" w:themeTint="FF" w:themeShade="FF"/>
          <w:sz w:val="20"/>
          <w:szCs w:val="20"/>
          <w:lang w:val="en-US"/>
        </w:rPr>
        <w:t xml:space="preserve"> the number of controls evaluated within each framework.</w:t>
      </w:r>
    </w:p>
    <w:p w:rsidR="61F9B131" w:rsidP="4A7CC396" w:rsidRDefault="61F9B131" w14:paraId="6EEF5F74" w14:textId="2677A773">
      <w:pPr>
        <w:pStyle w:val="Normal"/>
        <w:keepNext w:val="1"/>
        <w:keepLines w:val="1"/>
        <w:bidi w:val="0"/>
        <w:spacing w:before="240" w:beforeAutospacing="off" w:after="0" w:afterAutospacing="off"/>
        <w:jc w:val="both"/>
      </w:pPr>
      <w:r w:rsidRPr="4A7CC396" w:rsidR="55D0888A">
        <w:rPr>
          <w:rFonts w:ascii="Aptos" w:hAnsi="Aptos" w:eastAsia="Aptos" w:cs="Aptos"/>
          <w:noProof w:val="0"/>
          <w:color w:val="000000" w:themeColor="text1" w:themeTint="FF" w:themeShade="FF"/>
          <w:sz w:val="20"/>
          <w:szCs w:val="20"/>
          <w:lang w:val="en-US"/>
        </w:rPr>
        <w:t xml:space="preserve">Table </w:t>
      </w:r>
      <w:r w:rsidRPr="4A7CC396" w:rsidR="4104A9CE">
        <w:rPr>
          <w:rFonts w:ascii="Aptos" w:hAnsi="Aptos" w:eastAsia="Aptos" w:cs="Aptos"/>
          <w:noProof w:val="0"/>
          <w:color w:val="000000" w:themeColor="text1" w:themeTint="FF" w:themeShade="FF"/>
          <w:sz w:val="20"/>
          <w:szCs w:val="20"/>
          <w:lang w:val="en-US"/>
        </w:rPr>
        <w:t>4</w:t>
      </w:r>
      <w:r w:rsidRPr="4A7CC396" w:rsidR="55D0888A">
        <w:rPr>
          <w:rFonts w:ascii="Aptos" w:hAnsi="Aptos" w:eastAsia="Aptos" w:cs="Aptos"/>
          <w:noProof w:val="0"/>
          <w:color w:val="000000" w:themeColor="text1" w:themeTint="FF" w:themeShade="FF"/>
          <w:sz w:val="20"/>
          <w:szCs w:val="20"/>
          <w:lang w:val="en-US"/>
        </w:rPr>
        <w:t>. Comparative Framework Scores, Department of Education Policy (Public Sector)</w:t>
      </w:r>
    </w:p>
    <w:tbl>
      <w:tblPr>
        <w:tblStyle w:val="TableGrid"/>
        <w:bidiVisual w:val="0"/>
        <w:tblW w:w="0" w:type="auto"/>
        <w:tblLook w:val="06A0" w:firstRow="1" w:lastRow="0" w:firstColumn="1" w:lastColumn="0" w:noHBand="1" w:noVBand="1"/>
      </w:tblPr>
      <w:tblGrid>
        <w:gridCol w:w="1155"/>
        <w:gridCol w:w="711"/>
        <w:gridCol w:w="933"/>
        <w:gridCol w:w="933"/>
        <w:gridCol w:w="933"/>
      </w:tblGrid>
      <w:tr w:rsidR="4A7CC396" w:rsidTr="4A7CC396" w14:paraId="55A82C4B">
        <w:trPr>
          <w:trHeight w:val="300"/>
        </w:trPr>
        <w:tc>
          <w:tcPr>
            <w:tcW w:w="1155" w:type="dxa"/>
            <w:tcMar/>
          </w:tcPr>
          <w:p w:rsidR="4A7CC396" w:rsidP="4A7CC396" w:rsidRDefault="4A7CC396" w14:paraId="2F75A125" w14:textId="7EDFA1B9">
            <w:pPr>
              <w:bidi w:val="0"/>
              <w:spacing w:before="0" w:beforeAutospacing="off" w:after="0" w:afterAutospacing="off"/>
              <w:jc w:val="center"/>
            </w:pPr>
            <w:r w:rsidRPr="4A7CC396" w:rsidR="4A7CC396">
              <w:rPr>
                <w:b w:val="1"/>
                <w:bCs w:val="1"/>
              </w:rPr>
              <w:t>Framework</w:t>
            </w:r>
          </w:p>
        </w:tc>
        <w:tc>
          <w:tcPr>
            <w:tcW w:w="711" w:type="dxa"/>
            <w:tcMar/>
          </w:tcPr>
          <w:p w:rsidR="4A7CC396" w:rsidP="4A7CC396" w:rsidRDefault="4A7CC396" w14:paraId="731CC7DA" w14:textId="006E5DBE">
            <w:pPr>
              <w:bidi w:val="0"/>
              <w:spacing w:before="0" w:beforeAutospacing="off" w:after="0" w:afterAutospacing="off"/>
              <w:jc w:val="center"/>
            </w:pPr>
            <w:r w:rsidRPr="4A7CC396" w:rsidR="4A7CC396">
              <w:rPr>
                <w:b w:val="1"/>
                <w:bCs w:val="1"/>
              </w:rPr>
              <w:t>Claude Score (0-5)</w:t>
            </w:r>
          </w:p>
        </w:tc>
        <w:tc>
          <w:tcPr>
            <w:tcW w:w="933" w:type="dxa"/>
            <w:tcMar/>
          </w:tcPr>
          <w:p w:rsidR="4A7CC396" w:rsidP="4A7CC396" w:rsidRDefault="4A7CC396" w14:paraId="4FAFADE4" w14:textId="5C0B6A91">
            <w:pPr>
              <w:bidi w:val="0"/>
              <w:spacing w:before="0" w:beforeAutospacing="off" w:after="0" w:afterAutospacing="off"/>
              <w:jc w:val="center"/>
            </w:pPr>
            <w:r w:rsidRPr="4A7CC396" w:rsidR="4A7CC396">
              <w:rPr>
                <w:b w:val="1"/>
                <w:bCs w:val="1"/>
                <w:lang w:val="en-US"/>
              </w:rPr>
              <w:t>ChatGPT 4.1 Score (0-5)</w:t>
            </w:r>
          </w:p>
        </w:tc>
        <w:tc>
          <w:tcPr>
            <w:tcW w:w="933" w:type="dxa"/>
            <w:tcMar/>
          </w:tcPr>
          <w:p w:rsidR="4A7CC396" w:rsidP="4A7CC396" w:rsidRDefault="4A7CC396" w14:paraId="1B7B0DF4" w14:textId="6A4023AF">
            <w:pPr>
              <w:bidi w:val="0"/>
              <w:spacing w:before="0" w:beforeAutospacing="off" w:after="0" w:afterAutospacing="off"/>
              <w:jc w:val="center"/>
            </w:pPr>
            <w:r w:rsidRPr="4A7CC396" w:rsidR="4A7CC396">
              <w:rPr>
                <w:b w:val="1"/>
                <w:bCs w:val="1"/>
                <w:lang w:val="en-US"/>
              </w:rPr>
              <w:t>Llama 4.0 Score (0-5)</w:t>
            </w:r>
          </w:p>
        </w:tc>
        <w:tc>
          <w:tcPr>
            <w:tcW w:w="933" w:type="dxa"/>
            <w:tcMar/>
          </w:tcPr>
          <w:p w:rsidR="4A7CC396" w:rsidP="4A7CC396" w:rsidRDefault="4A7CC396" w14:paraId="18116573" w14:textId="44B5BA84">
            <w:pPr>
              <w:bidi w:val="0"/>
              <w:spacing w:before="0" w:beforeAutospacing="off" w:after="0" w:afterAutospacing="off"/>
              <w:jc w:val="center"/>
            </w:pPr>
            <w:r w:rsidRPr="4A7CC396" w:rsidR="4A7CC396">
              <w:rPr>
                <w:b w:val="1"/>
                <w:bCs w:val="1"/>
              </w:rPr>
              <w:t>Controls Assessed (n)</w:t>
            </w:r>
          </w:p>
        </w:tc>
      </w:tr>
      <w:tr w:rsidR="4A7CC396" w:rsidTr="4A7CC396" w14:paraId="3A30166C">
        <w:trPr>
          <w:trHeight w:val="300"/>
        </w:trPr>
        <w:tc>
          <w:tcPr>
            <w:tcW w:w="1155" w:type="dxa"/>
            <w:tcMar/>
          </w:tcPr>
          <w:p w:rsidR="4A7CC396" w:rsidP="4A7CC396" w:rsidRDefault="4A7CC396" w14:paraId="6F8FE9E9" w14:textId="35B30721">
            <w:pPr>
              <w:bidi w:val="0"/>
              <w:spacing w:before="0" w:beforeAutospacing="off" w:after="0" w:afterAutospacing="off"/>
            </w:pPr>
            <w:r w:rsidR="4A7CC396">
              <w:rPr/>
              <w:t>NIST CSF</w:t>
            </w:r>
          </w:p>
        </w:tc>
        <w:tc>
          <w:tcPr>
            <w:tcW w:w="711" w:type="dxa"/>
            <w:tcMar/>
          </w:tcPr>
          <w:p w:rsidR="4A7CC396" w:rsidP="4A7CC396" w:rsidRDefault="4A7CC396" w14:paraId="4236A125" w14:textId="4AD4E296">
            <w:pPr>
              <w:bidi w:val="0"/>
              <w:spacing w:before="0" w:beforeAutospacing="off" w:after="0" w:afterAutospacing="off"/>
            </w:pPr>
            <w:r w:rsidR="4A7CC396">
              <w:rPr/>
              <w:t>1.34</w:t>
            </w:r>
          </w:p>
        </w:tc>
        <w:tc>
          <w:tcPr>
            <w:tcW w:w="933" w:type="dxa"/>
            <w:tcMar/>
          </w:tcPr>
          <w:p w:rsidR="4A7CC396" w:rsidP="4A7CC396" w:rsidRDefault="4A7CC396" w14:paraId="32854B77" w14:textId="2B800C8D">
            <w:pPr>
              <w:bidi w:val="0"/>
              <w:spacing w:before="0" w:beforeAutospacing="off" w:after="0" w:afterAutospacing="off"/>
            </w:pPr>
            <w:r w:rsidR="4A7CC396">
              <w:rPr/>
              <w:t>2.36</w:t>
            </w:r>
          </w:p>
        </w:tc>
        <w:tc>
          <w:tcPr>
            <w:tcW w:w="933" w:type="dxa"/>
            <w:tcMar/>
          </w:tcPr>
          <w:p w:rsidR="4A7CC396" w:rsidP="4A7CC396" w:rsidRDefault="4A7CC396" w14:paraId="122EAC9A" w14:textId="06240B15">
            <w:pPr>
              <w:bidi w:val="0"/>
              <w:spacing w:before="0" w:beforeAutospacing="off" w:after="0" w:afterAutospacing="off"/>
            </w:pPr>
            <w:r w:rsidR="4A7CC396">
              <w:rPr/>
              <w:t>2.33</w:t>
            </w:r>
          </w:p>
        </w:tc>
        <w:tc>
          <w:tcPr>
            <w:tcW w:w="933" w:type="dxa"/>
            <w:tcMar/>
          </w:tcPr>
          <w:p w:rsidR="4A7CC396" w:rsidP="4A7CC396" w:rsidRDefault="4A7CC396" w14:paraId="190F4D62" w14:textId="21205898">
            <w:pPr>
              <w:bidi w:val="0"/>
              <w:spacing w:before="0" w:beforeAutospacing="off" w:after="0" w:afterAutospacing="off"/>
            </w:pPr>
            <w:r w:rsidR="4A7CC396">
              <w:rPr/>
              <w:t>26</w:t>
            </w:r>
          </w:p>
        </w:tc>
      </w:tr>
      <w:tr w:rsidR="4A7CC396" w:rsidTr="4A7CC396" w14:paraId="43EF270E">
        <w:trPr>
          <w:trHeight w:val="300"/>
        </w:trPr>
        <w:tc>
          <w:tcPr>
            <w:tcW w:w="1155" w:type="dxa"/>
            <w:tcMar/>
          </w:tcPr>
          <w:p w:rsidR="4A7CC396" w:rsidP="4A7CC396" w:rsidRDefault="4A7CC396" w14:paraId="6B0CCDAA" w14:textId="438A6A08">
            <w:pPr>
              <w:bidi w:val="0"/>
              <w:spacing w:before="0" w:beforeAutospacing="off" w:after="0" w:afterAutospacing="off"/>
            </w:pPr>
            <w:r w:rsidR="4A7CC396">
              <w:rPr/>
              <w:t>NIST SP 800-53</w:t>
            </w:r>
          </w:p>
        </w:tc>
        <w:tc>
          <w:tcPr>
            <w:tcW w:w="711" w:type="dxa"/>
            <w:tcMar/>
          </w:tcPr>
          <w:p w:rsidR="4A7CC396" w:rsidP="4A7CC396" w:rsidRDefault="4A7CC396" w14:paraId="0D90C882" w14:textId="43EE19F0">
            <w:pPr>
              <w:bidi w:val="0"/>
              <w:spacing w:before="0" w:beforeAutospacing="off" w:after="0" w:afterAutospacing="off"/>
            </w:pPr>
            <w:r w:rsidR="4A7CC396">
              <w:rPr/>
              <w:t>1.45</w:t>
            </w:r>
          </w:p>
        </w:tc>
        <w:tc>
          <w:tcPr>
            <w:tcW w:w="933" w:type="dxa"/>
            <w:tcMar/>
          </w:tcPr>
          <w:p w:rsidR="4A7CC396" w:rsidP="4A7CC396" w:rsidRDefault="4A7CC396" w14:paraId="137A2104" w14:textId="38F48FBF">
            <w:pPr>
              <w:bidi w:val="0"/>
              <w:spacing w:before="0" w:beforeAutospacing="off" w:after="0" w:afterAutospacing="off"/>
            </w:pPr>
            <w:r w:rsidR="4A7CC396">
              <w:rPr/>
              <w:t>2.49</w:t>
            </w:r>
          </w:p>
        </w:tc>
        <w:tc>
          <w:tcPr>
            <w:tcW w:w="933" w:type="dxa"/>
            <w:tcMar/>
          </w:tcPr>
          <w:p w:rsidR="4A7CC396" w:rsidP="4A7CC396" w:rsidRDefault="4A7CC396" w14:paraId="33D5FE98" w14:textId="3C18FA2E">
            <w:pPr>
              <w:bidi w:val="0"/>
              <w:spacing w:before="0" w:beforeAutospacing="off" w:after="0" w:afterAutospacing="off"/>
            </w:pPr>
            <w:r w:rsidR="4A7CC396">
              <w:rPr/>
              <w:t>2.46</w:t>
            </w:r>
          </w:p>
        </w:tc>
        <w:tc>
          <w:tcPr>
            <w:tcW w:w="933" w:type="dxa"/>
            <w:tcMar/>
          </w:tcPr>
          <w:p w:rsidR="4A7CC396" w:rsidP="4A7CC396" w:rsidRDefault="4A7CC396" w14:paraId="2F65D8A9" w14:textId="33B88C98">
            <w:pPr>
              <w:bidi w:val="0"/>
              <w:spacing w:before="0" w:beforeAutospacing="off" w:after="0" w:afterAutospacing="off"/>
            </w:pPr>
            <w:r w:rsidR="4A7CC396">
              <w:rPr/>
              <w:t>27</w:t>
            </w:r>
          </w:p>
        </w:tc>
      </w:tr>
      <w:tr w:rsidR="4A7CC396" w:rsidTr="4A7CC396" w14:paraId="5927B9C8">
        <w:trPr>
          <w:trHeight w:val="300"/>
        </w:trPr>
        <w:tc>
          <w:tcPr>
            <w:tcW w:w="1155" w:type="dxa"/>
            <w:tcMar/>
          </w:tcPr>
          <w:p w:rsidR="4A7CC396" w:rsidP="4A7CC396" w:rsidRDefault="4A7CC396" w14:paraId="2BC7C38C" w14:textId="42F88EFC">
            <w:pPr>
              <w:bidi w:val="0"/>
              <w:spacing w:before="0" w:beforeAutospacing="off" w:after="0" w:afterAutospacing="off"/>
            </w:pPr>
            <w:r w:rsidR="4A7CC396">
              <w:rPr/>
              <w:t>ISO/IEC 27001</w:t>
            </w:r>
          </w:p>
        </w:tc>
        <w:tc>
          <w:tcPr>
            <w:tcW w:w="711" w:type="dxa"/>
            <w:tcMar/>
          </w:tcPr>
          <w:p w:rsidR="4A7CC396" w:rsidP="4A7CC396" w:rsidRDefault="4A7CC396" w14:paraId="4E72D8CE" w14:textId="01089B1A">
            <w:pPr>
              <w:bidi w:val="0"/>
              <w:spacing w:before="0" w:beforeAutospacing="off" w:after="0" w:afterAutospacing="off"/>
            </w:pPr>
            <w:r w:rsidR="4A7CC396">
              <w:rPr/>
              <w:t>1.65</w:t>
            </w:r>
          </w:p>
        </w:tc>
        <w:tc>
          <w:tcPr>
            <w:tcW w:w="933" w:type="dxa"/>
            <w:tcMar/>
          </w:tcPr>
          <w:p w:rsidR="4A7CC396" w:rsidP="4A7CC396" w:rsidRDefault="4A7CC396" w14:paraId="793BF40C" w14:textId="322FD5D3">
            <w:pPr>
              <w:bidi w:val="0"/>
              <w:spacing w:before="0" w:beforeAutospacing="off" w:after="0" w:afterAutospacing="off"/>
            </w:pPr>
            <w:r w:rsidR="4A7CC396">
              <w:rPr/>
              <w:t>2.75</w:t>
            </w:r>
          </w:p>
        </w:tc>
        <w:tc>
          <w:tcPr>
            <w:tcW w:w="933" w:type="dxa"/>
            <w:tcMar/>
          </w:tcPr>
          <w:p w:rsidR="4A7CC396" w:rsidP="4A7CC396" w:rsidRDefault="4A7CC396" w14:paraId="19245C34" w14:textId="2458B8F6">
            <w:pPr>
              <w:bidi w:val="0"/>
              <w:spacing w:before="0" w:beforeAutospacing="off" w:after="0" w:afterAutospacing="off"/>
            </w:pPr>
            <w:r w:rsidR="4A7CC396">
              <w:rPr/>
              <w:t>2.53</w:t>
            </w:r>
          </w:p>
        </w:tc>
        <w:tc>
          <w:tcPr>
            <w:tcW w:w="933" w:type="dxa"/>
            <w:tcMar/>
          </w:tcPr>
          <w:p w:rsidR="4A7CC396" w:rsidP="4A7CC396" w:rsidRDefault="4A7CC396" w14:paraId="70A1AEF7" w14:textId="2F7FDDA9">
            <w:pPr>
              <w:bidi w:val="0"/>
              <w:spacing w:before="0" w:beforeAutospacing="off" w:after="0" w:afterAutospacing="off"/>
            </w:pPr>
            <w:r w:rsidR="4A7CC396">
              <w:rPr/>
              <w:t>24</w:t>
            </w:r>
          </w:p>
        </w:tc>
      </w:tr>
      <w:tr w:rsidR="4A7CC396" w:rsidTr="4A7CC396" w14:paraId="0C89A769">
        <w:trPr>
          <w:trHeight w:val="300"/>
        </w:trPr>
        <w:tc>
          <w:tcPr>
            <w:tcW w:w="1155" w:type="dxa"/>
            <w:tcMar/>
          </w:tcPr>
          <w:p w:rsidR="4A7CC396" w:rsidP="4A7CC396" w:rsidRDefault="4A7CC396" w14:paraId="42579EEB" w14:textId="176B8CDA">
            <w:pPr>
              <w:bidi w:val="0"/>
              <w:spacing w:before="0" w:beforeAutospacing="off" w:after="0" w:afterAutospacing="off"/>
            </w:pPr>
            <w:r w:rsidR="4A7CC396">
              <w:rPr/>
              <w:t>CIS CSC</w:t>
            </w:r>
          </w:p>
        </w:tc>
        <w:tc>
          <w:tcPr>
            <w:tcW w:w="711" w:type="dxa"/>
            <w:tcMar/>
          </w:tcPr>
          <w:p w:rsidR="4A7CC396" w:rsidP="4A7CC396" w:rsidRDefault="4A7CC396" w14:paraId="56AA2250" w14:textId="3A6BAAC1">
            <w:pPr>
              <w:bidi w:val="0"/>
              <w:spacing w:before="0" w:beforeAutospacing="off" w:after="0" w:afterAutospacing="off"/>
            </w:pPr>
            <w:r w:rsidR="4A7CC396">
              <w:rPr/>
              <w:t>1.32</w:t>
            </w:r>
          </w:p>
        </w:tc>
        <w:tc>
          <w:tcPr>
            <w:tcW w:w="933" w:type="dxa"/>
            <w:tcMar/>
          </w:tcPr>
          <w:p w:rsidR="4A7CC396" w:rsidP="4A7CC396" w:rsidRDefault="4A7CC396" w14:paraId="541F9A16" w14:textId="2250D791">
            <w:pPr>
              <w:bidi w:val="0"/>
              <w:spacing w:before="0" w:beforeAutospacing="off" w:after="0" w:afterAutospacing="off"/>
            </w:pPr>
            <w:r w:rsidR="4A7CC396">
              <w:rPr/>
              <w:t>2.45</w:t>
            </w:r>
          </w:p>
        </w:tc>
        <w:tc>
          <w:tcPr>
            <w:tcW w:w="933" w:type="dxa"/>
            <w:tcMar/>
          </w:tcPr>
          <w:p w:rsidR="4A7CC396" w:rsidP="4A7CC396" w:rsidRDefault="4A7CC396" w14:paraId="6BFF2A6A" w14:textId="1C809CB2">
            <w:pPr>
              <w:bidi w:val="0"/>
              <w:spacing w:before="0" w:beforeAutospacing="off" w:after="0" w:afterAutospacing="off"/>
            </w:pPr>
            <w:r w:rsidR="4A7CC396">
              <w:rPr/>
              <w:t>2.39</w:t>
            </w:r>
          </w:p>
        </w:tc>
        <w:tc>
          <w:tcPr>
            <w:tcW w:w="933" w:type="dxa"/>
            <w:tcMar/>
          </w:tcPr>
          <w:p w:rsidR="4A7CC396" w:rsidP="4A7CC396" w:rsidRDefault="4A7CC396" w14:paraId="38DF1162" w14:textId="2810FC52">
            <w:pPr>
              <w:bidi w:val="0"/>
              <w:spacing w:before="0" w:beforeAutospacing="off" w:after="0" w:afterAutospacing="off"/>
            </w:pPr>
            <w:r w:rsidR="4A7CC396">
              <w:rPr/>
              <w:t>18</w:t>
            </w:r>
          </w:p>
        </w:tc>
      </w:tr>
      <w:tr w:rsidR="4A7CC396" w:rsidTr="4A7CC396" w14:paraId="70A9CC0E">
        <w:trPr>
          <w:trHeight w:val="300"/>
        </w:trPr>
        <w:tc>
          <w:tcPr>
            <w:tcW w:w="1155" w:type="dxa"/>
            <w:tcMar/>
          </w:tcPr>
          <w:p w:rsidR="4A7CC396" w:rsidP="4A7CC396" w:rsidRDefault="4A7CC396" w14:paraId="7FBE8542" w14:textId="2A763FCC">
            <w:pPr>
              <w:bidi w:val="0"/>
              <w:spacing w:before="0" w:beforeAutospacing="off" w:after="0" w:afterAutospacing="off"/>
            </w:pPr>
            <w:r w:rsidR="4A7CC396">
              <w:rPr/>
              <w:t>CMMC</w:t>
            </w:r>
          </w:p>
        </w:tc>
        <w:tc>
          <w:tcPr>
            <w:tcW w:w="711" w:type="dxa"/>
            <w:tcMar/>
          </w:tcPr>
          <w:p w:rsidR="4A7CC396" w:rsidP="4A7CC396" w:rsidRDefault="4A7CC396" w14:paraId="3085B764" w14:textId="241133D0">
            <w:pPr>
              <w:bidi w:val="0"/>
              <w:spacing w:before="0" w:beforeAutospacing="off" w:after="0" w:afterAutospacing="off"/>
            </w:pPr>
            <w:r w:rsidR="4A7CC396">
              <w:rPr/>
              <w:t>1.43</w:t>
            </w:r>
          </w:p>
        </w:tc>
        <w:tc>
          <w:tcPr>
            <w:tcW w:w="933" w:type="dxa"/>
            <w:tcMar/>
          </w:tcPr>
          <w:p w:rsidR="4A7CC396" w:rsidP="4A7CC396" w:rsidRDefault="4A7CC396" w14:paraId="4DE1A79F" w14:textId="6E001FD6">
            <w:pPr>
              <w:bidi w:val="0"/>
              <w:spacing w:before="0" w:beforeAutospacing="off" w:after="0" w:afterAutospacing="off"/>
            </w:pPr>
            <w:r w:rsidR="4A7CC396">
              <w:rPr/>
              <w:t>2.43</w:t>
            </w:r>
          </w:p>
        </w:tc>
        <w:tc>
          <w:tcPr>
            <w:tcW w:w="933" w:type="dxa"/>
            <w:tcMar/>
          </w:tcPr>
          <w:p w:rsidR="4A7CC396" w:rsidP="4A7CC396" w:rsidRDefault="4A7CC396" w14:paraId="6AC86D23" w14:textId="03A5FE88">
            <w:pPr>
              <w:bidi w:val="0"/>
              <w:spacing w:before="0" w:beforeAutospacing="off" w:after="0" w:afterAutospacing="off"/>
            </w:pPr>
            <w:r w:rsidR="4A7CC396">
              <w:rPr/>
              <w:t>2.35</w:t>
            </w:r>
          </w:p>
        </w:tc>
        <w:tc>
          <w:tcPr>
            <w:tcW w:w="933" w:type="dxa"/>
            <w:tcMar/>
          </w:tcPr>
          <w:p w:rsidR="4A7CC396" w:rsidP="4A7CC396" w:rsidRDefault="4A7CC396" w14:paraId="3A449F8D" w14:textId="598BE141">
            <w:pPr>
              <w:bidi w:val="0"/>
              <w:spacing w:before="0" w:beforeAutospacing="off" w:after="0" w:afterAutospacing="off"/>
            </w:pPr>
            <w:r w:rsidR="4A7CC396">
              <w:rPr/>
              <w:t>20</w:t>
            </w:r>
          </w:p>
        </w:tc>
      </w:tr>
      <w:tr w:rsidR="4A7CC396" w:rsidTr="4A7CC396" w14:paraId="1830B870">
        <w:trPr>
          <w:trHeight w:val="300"/>
        </w:trPr>
        <w:tc>
          <w:tcPr>
            <w:tcW w:w="1155" w:type="dxa"/>
            <w:tcMar/>
          </w:tcPr>
          <w:p w:rsidR="4A7CC396" w:rsidP="4A7CC396" w:rsidRDefault="4A7CC396" w14:paraId="5374C3CA" w14:textId="01E5E60F">
            <w:pPr>
              <w:bidi w:val="0"/>
              <w:spacing w:before="0" w:beforeAutospacing="off" w:after="0" w:afterAutospacing="off"/>
            </w:pPr>
            <w:r w:rsidR="4A7CC396">
              <w:rPr/>
              <w:t>HIPAA</w:t>
            </w:r>
          </w:p>
        </w:tc>
        <w:tc>
          <w:tcPr>
            <w:tcW w:w="711" w:type="dxa"/>
            <w:tcMar/>
          </w:tcPr>
          <w:p w:rsidR="4A7CC396" w:rsidP="4A7CC396" w:rsidRDefault="4A7CC396" w14:paraId="7E5F56CD" w14:textId="6F5CA722">
            <w:pPr>
              <w:bidi w:val="0"/>
              <w:spacing w:before="0" w:beforeAutospacing="off" w:after="0" w:afterAutospacing="off"/>
            </w:pPr>
            <w:r w:rsidR="4A7CC396">
              <w:rPr/>
              <w:t>1.42</w:t>
            </w:r>
          </w:p>
        </w:tc>
        <w:tc>
          <w:tcPr>
            <w:tcW w:w="933" w:type="dxa"/>
            <w:tcMar/>
          </w:tcPr>
          <w:p w:rsidR="4A7CC396" w:rsidP="4A7CC396" w:rsidRDefault="4A7CC396" w14:paraId="6A867BF4" w14:textId="0730AB0C">
            <w:pPr>
              <w:bidi w:val="0"/>
              <w:spacing w:before="0" w:beforeAutospacing="off" w:after="0" w:afterAutospacing="off"/>
            </w:pPr>
            <w:r w:rsidR="4A7CC396">
              <w:rPr/>
              <w:t>2.45</w:t>
            </w:r>
          </w:p>
        </w:tc>
        <w:tc>
          <w:tcPr>
            <w:tcW w:w="933" w:type="dxa"/>
            <w:tcMar/>
          </w:tcPr>
          <w:p w:rsidR="4A7CC396" w:rsidP="4A7CC396" w:rsidRDefault="4A7CC396" w14:paraId="2BC972D3" w14:textId="30BE90ED">
            <w:pPr>
              <w:bidi w:val="0"/>
              <w:spacing w:before="0" w:beforeAutospacing="off" w:after="0" w:afterAutospacing="off"/>
            </w:pPr>
            <w:r w:rsidR="4A7CC396">
              <w:rPr/>
              <w:t>2.45</w:t>
            </w:r>
          </w:p>
        </w:tc>
        <w:tc>
          <w:tcPr>
            <w:tcW w:w="933" w:type="dxa"/>
            <w:tcMar/>
          </w:tcPr>
          <w:p w:rsidR="4A7CC396" w:rsidP="4A7CC396" w:rsidRDefault="4A7CC396" w14:paraId="4AF17457" w14:textId="4B9FF056">
            <w:pPr>
              <w:bidi w:val="0"/>
              <w:spacing w:before="0" w:beforeAutospacing="off" w:after="0" w:afterAutospacing="off"/>
            </w:pPr>
            <w:r w:rsidR="4A7CC396">
              <w:rPr/>
              <w:t>20</w:t>
            </w:r>
          </w:p>
        </w:tc>
      </w:tr>
      <w:tr w:rsidR="4A7CC396" w:rsidTr="4A7CC396" w14:paraId="7F3E1A39">
        <w:trPr>
          <w:trHeight w:val="300"/>
        </w:trPr>
        <w:tc>
          <w:tcPr>
            <w:tcW w:w="1155" w:type="dxa"/>
            <w:tcMar/>
          </w:tcPr>
          <w:p w:rsidR="4A7CC396" w:rsidP="4A7CC396" w:rsidRDefault="4A7CC396" w14:paraId="289D091D" w14:textId="4B5E478B">
            <w:pPr>
              <w:bidi w:val="0"/>
              <w:spacing w:before="0" w:beforeAutospacing="off" w:after="0" w:afterAutospacing="off"/>
            </w:pPr>
            <w:r w:rsidR="4A7CC396">
              <w:rPr/>
              <w:t>PCI DSS</w:t>
            </w:r>
          </w:p>
        </w:tc>
        <w:tc>
          <w:tcPr>
            <w:tcW w:w="711" w:type="dxa"/>
            <w:tcMar/>
          </w:tcPr>
          <w:p w:rsidR="4A7CC396" w:rsidP="4A7CC396" w:rsidRDefault="4A7CC396" w14:paraId="1F972F6B" w14:textId="735F4185">
            <w:pPr>
              <w:bidi w:val="0"/>
              <w:spacing w:before="0" w:beforeAutospacing="off" w:after="0" w:afterAutospacing="off"/>
            </w:pPr>
            <w:r w:rsidR="4A7CC396">
              <w:rPr/>
              <w:t>1.19</w:t>
            </w:r>
          </w:p>
        </w:tc>
        <w:tc>
          <w:tcPr>
            <w:tcW w:w="933" w:type="dxa"/>
            <w:tcMar/>
          </w:tcPr>
          <w:p w:rsidR="4A7CC396" w:rsidP="4A7CC396" w:rsidRDefault="4A7CC396" w14:paraId="48D6BB23" w14:textId="255EED38">
            <w:pPr>
              <w:bidi w:val="0"/>
              <w:spacing w:before="0" w:beforeAutospacing="off" w:after="0" w:afterAutospacing="off"/>
            </w:pPr>
            <w:r w:rsidR="4A7CC396">
              <w:rPr/>
              <w:t>2.26</w:t>
            </w:r>
          </w:p>
        </w:tc>
        <w:tc>
          <w:tcPr>
            <w:tcW w:w="933" w:type="dxa"/>
            <w:tcMar/>
          </w:tcPr>
          <w:p w:rsidR="4A7CC396" w:rsidP="4A7CC396" w:rsidRDefault="4A7CC396" w14:paraId="54785A41" w14:textId="0206C1C2">
            <w:pPr>
              <w:bidi w:val="0"/>
              <w:spacing w:before="0" w:beforeAutospacing="off" w:after="0" w:afterAutospacing="off"/>
            </w:pPr>
            <w:r w:rsidR="4A7CC396">
              <w:rPr/>
              <w:t>2.34</w:t>
            </w:r>
          </w:p>
        </w:tc>
        <w:tc>
          <w:tcPr>
            <w:tcW w:w="933" w:type="dxa"/>
            <w:tcMar/>
          </w:tcPr>
          <w:p w:rsidR="4A7CC396" w:rsidP="4A7CC396" w:rsidRDefault="4A7CC396" w14:paraId="0933979F" w14:textId="55E8A6A9">
            <w:pPr>
              <w:bidi w:val="0"/>
              <w:spacing w:before="0" w:beforeAutospacing="off" w:after="0" w:afterAutospacing="off"/>
            </w:pPr>
            <w:r w:rsidR="4A7CC396">
              <w:rPr/>
              <w:t>23</w:t>
            </w:r>
          </w:p>
        </w:tc>
      </w:tr>
      <w:tr w:rsidR="4A7CC396" w:rsidTr="4A7CC396" w14:paraId="30281FD0">
        <w:trPr>
          <w:trHeight w:val="300"/>
        </w:trPr>
        <w:tc>
          <w:tcPr>
            <w:tcW w:w="1155" w:type="dxa"/>
            <w:tcMar/>
          </w:tcPr>
          <w:p w:rsidR="4A7CC396" w:rsidP="4A7CC396" w:rsidRDefault="4A7CC396" w14:paraId="7739C5CE" w14:textId="3DE5412D">
            <w:pPr>
              <w:bidi w:val="0"/>
              <w:spacing w:before="0" w:beforeAutospacing="off" w:after="0" w:afterAutospacing="off"/>
            </w:pPr>
            <w:r w:rsidR="4A7CC396">
              <w:rPr/>
              <w:t>CSA CCM</w:t>
            </w:r>
          </w:p>
        </w:tc>
        <w:tc>
          <w:tcPr>
            <w:tcW w:w="711" w:type="dxa"/>
            <w:tcMar/>
          </w:tcPr>
          <w:p w:rsidR="4A7CC396" w:rsidP="4A7CC396" w:rsidRDefault="4A7CC396" w14:paraId="2BFB1058" w14:textId="5D1A8841">
            <w:pPr>
              <w:bidi w:val="0"/>
              <w:spacing w:before="0" w:beforeAutospacing="off" w:after="0" w:afterAutospacing="off"/>
            </w:pPr>
            <w:r w:rsidR="4A7CC396">
              <w:rPr/>
              <w:t>1.22</w:t>
            </w:r>
          </w:p>
        </w:tc>
        <w:tc>
          <w:tcPr>
            <w:tcW w:w="933" w:type="dxa"/>
            <w:tcMar/>
          </w:tcPr>
          <w:p w:rsidR="4A7CC396" w:rsidP="4A7CC396" w:rsidRDefault="4A7CC396" w14:paraId="4CDAD3FB" w14:textId="3B48E02A">
            <w:pPr>
              <w:bidi w:val="0"/>
              <w:spacing w:before="0" w:beforeAutospacing="off" w:after="0" w:afterAutospacing="off"/>
            </w:pPr>
            <w:r w:rsidR="4A7CC396">
              <w:rPr/>
              <w:t>2.22</w:t>
            </w:r>
          </w:p>
        </w:tc>
        <w:tc>
          <w:tcPr>
            <w:tcW w:w="933" w:type="dxa"/>
            <w:tcMar/>
          </w:tcPr>
          <w:p w:rsidR="4A7CC396" w:rsidP="4A7CC396" w:rsidRDefault="4A7CC396" w14:paraId="40A47137" w14:textId="1195ADC9">
            <w:pPr>
              <w:bidi w:val="0"/>
              <w:spacing w:before="0" w:beforeAutospacing="off" w:after="0" w:afterAutospacing="off"/>
            </w:pPr>
            <w:r w:rsidR="4A7CC396">
              <w:rPr/>
              <w:t>2.21</w:t>
            </w:r>
          </w:p>
        </w:tc>
        <w:tc>
          <w:tcPr>
            <w:tcW w:w="933" w:type="dxa"/>
            <w:tcMar/>
          </w:tcPr>
          <w:p w:rsidR="4A7CC396" w:rsidP="4A7CC396" w:rsidRDefault="4A7CC396" w14:paraId="127554A2" w14:textId="79C5E2B9">
            <w:pPr>
              <w:bidi w:val="0"/>
              <w:spacing w:before="0" w:beforeAutospacing="off" w:after="0" w:afterAutospacing="off"/>
            </w:pPr>
            <w:r w:rsidR="4A7CC396">
              <w:rPr/>
              <w:t>25</w:t>
            </w:r>
          </w:p>
        </w:tc>
      </w:tr>
      <w:tr w:rsidR="4A7CC396" w:rsidTr="4A7CC396" w14:paraId="446ED531">
        <w:trPr>
          <w:trHeight w:val="300"/>
        </w:trPr>
        <w:tc>
          <w:tcPr>
            <w:tcW w:w="1155" w:type="dxa"/>
            <w:tcMar/>
          </w:tcPr>
          <w:p w:rsidR="4A7CC396" w:rsidP="4A7CC396" w:rsidRDefault="4A7CC396" w14:paraId="495C716D" w14:textId="6838D1C8">
            <w:pPr>
              <w:bidi w:val="0"/>
              <w:spacing w:before="0" w:beforeAutospacing="off" w:after="0" w:afterAutospacing="off"/>
            </w:pPr>
            <w:r w:rsidR="4A7CC396">
              <w:rPr/>
              <w:t>FTC Safeguards</w:t>
            </w:r>
          </w:p>
        </w:tc>
        <w:tc>
          <w:tcPr>
            <w:tcW w:w="711" w:type="dxa"/>
            <w:tcMar/>
          </w:tcPr>
          <w:p w:rsidR="4A7CC396" w:rsidP="4A7CC396" w:rsidRDefault="4A7CC396" w14:paraId="004A6FAD" w14:textId="54CC6EE2">
            <w:pPr>
              <w:bidi w:val="0"/>
              <w:spacing w:before="0" w:beforeAutospacing="off" w:after="0" w:afterAutospacing="off"/>
            </w:pPr>
            <w:r w:rsidR="4A7CC396">
              <w:rPr/>
              <w:t>1.94</w:t>
            </w:r>
          </w:p>
        </w:tc>
        <w:tc>
          <w:tcPr>
            <w:tcW w:w="933" w:type="dxa"/>
            <w:tcMar/>
          </w:tcPr>
          <w:p w:rsidR="4A7CC396" w:rsidP="4A7CC396" w:rsidRDefault="4A7CC396" w14:paraId="1D720C65" w14:textId="7F7AA50A">
            <w:pPr>
              <w:bidi w:val="0"/>
              <w:spacing w:before="0" w:beforeAutospacing="off" w:after="0" w:afterAutospacing="off"/>
            </w:pPr>
            <w:r w:rsidR="4A7CC396">
              <w:rPr/>
              <w:t>2.83</w:t>
            </w:r>
          </w:p>
        </w:tc>
        <w:tc>
          <w:tcPr>
            <w:tcW w:w="933" w:type="dxa"/>
            <w:tcMar/>
          </w:tcPr>
          <w:p w:rsidR="4A7CC396" w:rsidP="4A7CC396" w:rsidRDefault="4A7CC396" w14:paraId="12C47357" w14:textId="529AE399">
            <w:pPr>
              <w:bidi w:val="0"/>
              <w:spacing w:before="0" w:beforeAutospacing="off" w:after="0" w:afterAutospacing="off"/>
            </w:pPr>
            <w:r w:rsidR="4A7CC396">
              <w:rPr/>
              <w:t>2.65</w:t>
            </w:r>
          </w:p>
        </w:tc>
        <w:tc>
          <w:tcPr>
            <w:tcW w:w="933" w:type="dxa"/>
            <w:tcMar/>
          </w:tcPr>
          <w:p w:rsidR="4A7CC396" w:rsidP="4A7CC396" w:rsidRDefault="4A7CC396" w14:paraId="3F1FC819" w14:textId="6BAF4B11">
            <w:pPr>
              <w:bidi w:val="0"/>
              <w:spacing w:before="0" w:beforeAutospacing="off" w:after="0" w:afterAutospacing="off"/>
            </w:pPr>
            <w:r w:rsidR="4A7CC396">
              <w:rPr/>
              <w:t>16</w:t>
            </w:r>
          </w:p>
        </w:tc>
      </w:tr>
      <w:tr w:rsidR="4A7CC396" w:rsidTr="4A7CC396" w14:paraId="2A7F72C6">
        <w:trPr>
          <w:trHeight w:val="300"/>
        </w:trPr>
        <w:tc>
          <w:tcPr>
            <w:tcW w:w="1155" w:type="dxa"/>
            <w:tcMar/>
          </w:tcPr>
          <w:p w:rsidR="4A7CC396" w:rsidP="4A7CC396" w:rsidRDefault="4A7CC396" w14:paraId="252E5FC7" w14:textId="5A7E37EA">
            <w:pPr>
              <w:bidi w:val="0"/>
              <w:spacing w:before="0" w:beforeAutospacing="off" w:after="0" w:afterAutospacing="off"/>
            </w:pPr>
            <w:r w:rsidR="4A7CC396">
              <w:rPr/>
              <w:t>Framework Average</w:t>
            </w:r>
          </w:p>
        </w:tc>
        <w:tc>
          <w:tcPr>
            <w:tcW w:w="711" w:type="dxa"/>
            <w:tcMar/>
          </w:tcPr>
          <w:p w:rsidR="4A7CC396" w:rsidP="4A7CC396" w:rsidRDefault="4A7CC396" w14:paraId="14F4034D" w14:textId="5DDB4006">
            <w:pPr>
              <w:bidi w:val="0"/>
              <w:spacing w:before="0" w:beforeAutospacing="off" w:after="0" w:afterAutospacing="off"/>
            </w:pPr>
            <w:r w:rsidR="4A7CC396">
              <w:rPr/>
              <w:t>1.44</w:t>
            </w:r>
          </w:p>
        </w:tc>
        <w:tc>
          <w:tcPr>
            <w:tcW w:w="933" w:type="dxa"/>
            <w:tcMar/>
          </w:tcPr>
          <w:p w:rsidR="4A7CC396" w:rsidP="4A7CC396" w:rsidRDefault="4A7CC396" w14:paraId="3D444162" w14:textId="7CF123C3">
            <w:pPr>
              <w:bidi w:val="0"/>
              <w:spacing w:before="0" w:beforeAutospacing="off" w:after="0" w:afterAutospacing="off"/>
            </w:pPr>
            <w:r w:rsidR="4A7CC396">
              <w:rPr/>
              <w:t>2.47</w:t>
            </w:r>
          </w:p>
        </w:tc>
        <w:tc>
          <w:tcPr>
            <w:tcW w:w="933" w:type="dxa"/>
            <w:tcMar/>
          </w:tcPr>
          <w:p w:rsidR="4A7CC396" w:rsidP="4A7CC396" w:rsidRDefault="4A7CC396" w14:paraId="3CCD7BC8" w14:textId="2A4B359C">
            <w:pPr>
              <w:bidi w:val="0"/>
              <w:spacing w:before="0" w:beforeAutospacing="off" w:after="0" w:afterAutospacing="off"/>
            </w:pPr>
            <w:r w:rsidR="4A7CC396">
              <w:rPr/>
              <w:t>2.41</w:t>
            </w:r>
          </w:p>
        </w:tc>
        <w:tc>
          <w:tcPr>
            <w:tcW w:w="933" w:type="dxa"/>
            <w:tcMar/>
          </w:tcPr>
          <w:p w:rsidR="4A7CC396" w:rsidP="4A7CC396" w:rsidRDefault="4A7CC396" w14:paraId="1D8D97A6" w14:textId="7EE54CF2">
            <w:pPr>
              <w:bidi w:val="0"/>
              <w:spacing w:before="0" w:beforeAutospacing="off" w:after="0" w:afterAutospacing="off"/>
            </w:pPr>
            <w:r w:rsidR="4A7CC396">
              <w:rPr/>
              <w:t>199</w:t>
            </w:r>
          </w:p>
        </w:tc>
      </w:tr>
    </w:tbl>
    <w:p w:rsidR="61F9B131" w:rsidP="4A7CC396" w:rsidRDefault="61F9B131" w14:paraId="4ABCE188" w14:textId="2E9040A8">
      <w:pPr>
        <w:pStyle w:val="Normal"/>
        <w:keepNext w:val="1"/>
        <w:keepLines w:val="1"/>
        <w:bidi w:val="0"/>
        <w:spacing w:before="240" w:beforeAutospacing="off" w:after="0" w:afterAutospacing="off" w:line="259" w:lineRule="auto"/>
        <w:ind w:left="0" w:right="0"/>
        <w:jc w:val="both"/>
      </w:pPr>
      <w:r w:rsidRPr="4A7CC396" w:rsidR="523E2D44">
        <w:rPr>
          <w:rFonts w:ascii="Aptos" w:hAnsi="Aptos" w:eastAsia="Aptos" w:cs="Aptos"/>
          <w:noProof w:val="0"/>
          <w:color w:val="000000" w:themeColor="text1" w:themeTint="FF" w:themeShade="FF"/>
          <w:sz w:val="20"/>
          <w:szCs w:val="20"/>
          <w:lang w:val="en-US"/>
        </w:rPr>
        <w:t xml:space="preserve">Table </w:t>
      </w:r>
      <w:r w:rsidRPr="4A7CC396" w:rsidR="6F0BD219">
        <w:rPr>
          <w:rFonts w:ascii="Aptos" w:hAnsi="Aptos" w:eastAsia="Aptos" w:cs="Aptos"/>
          <w:noProof w:val="0"/>
          <w:color w:val="000000" w:themeColor="text1" w:themeTint="FF" w:themeShade="FF"/>
          <w:sz w:val="20"/>
          <w:szCs w:val="20"/>
          <w:lang w:val="en-US"/>
        </w:rPr>
        <w:t>5</w:t>
      </w:r>
      <w:r w:rsidRPr="4A7CC396" w:rsidR="523E2D44">
        <w:rPr>
          <w:rFonts w:ascii="Aptos" w:hAnsi="Aptos" w:eastAsia="Aptos" w:cs="Aptos"/>
          <w:noProof w:val="0"/>
          <w:color w:val="000000" w:themeColor="text1" w:themeTint="FF" w:themeShade="FF"/>
          <w:sz w:val="20"/>
          <w:szCs w:val="20"/>
          <w:lang w:val="en-US"/>
        </w:rPr>
        <w:t>. Comparative Framework Scores, Scott &amp; Scott WISP (Private Sector)</w:t>
      </w:r>
    </w:p>
    <w:tbl>
      <w:tblPr>
        <w:tblStyle w:val="TableGrid"/>
        <w:bidiVisual w:val="0"/>
        <w:tblW w:w="0" w:type="auto"/>
        <w:tblLook w:val="06A0" w:firstRow="1" w:lastRow="0" w:firstColumn="1" w:lastColumn="0" w:noHBand="1" w:noVBand="1"/>
      </w:tblPr>
      <w:tblGrid>
        <w:gridCol w:w="1125"/>
        <w:gridCol w:w="741"/>
        <w:gridCol w:w="933"/>
        <w:gridCol w:w="933"/>
        <w:gridCol w:w="933"/>
      </w:tblGrid>
      <w:tr w:rsidR="4A7CC396" w:rsidTr="4A7CC396" w14:paraId="248A6F68">
        <w:trPr>
          <w:trHeight w:val="300"/>
        </w:trPr>
        <w:tc>
          <w:tcPr>
            <w:tcW w:w="1125" w:type="dxa"/>
            <w:tcMar/>
          </w:tcPr>
          <w:p w:rsidR="4A7CC396" w:rsidP="4A7CC396" w:rsidRDefault="4A7CC396" w14:paraId="1F8B2685" w14:textId="1921553E">
            <w:pPr>
              <w:bidi w:val="0"/>
              <w:spacing w:before="0" w:beforeAutospacing="off" w:after="0" w:afterAutospacing="off"/>
              <w:jc w:val="center"/>
            </w:pPr>
            <w:r w:rsidRPr="4A7CC396" w:rsidR="4A7CC396">
              <w:rPr>
                <w:b w:val="1"/>
                <w:bCs w:val="1"/>
                <w:color w:val="000000" w:themeColor="text1" w:themeTint="FF" w:themeShade="FF"/>
              </w:rPr>
              <w:t>Framework</w:t>
            </w:r>
          </w:p>
        </w:tc>
        <w:tc>
          <w:tcPr>
            <w:tcW w:w="741" w:type="dxa"/>
            <w:tcMar/>
          </w:tcPr>
          <w:p w:rsidR="4A7CC396" w:rsidP="4A7CC396" w:rsidRDefault="4A7CC396" w14:paraId="502CD52B" w14:textId="03E47AF0">
            <w:pPr>
              <w:bidi w:val="0"/>
              <w:spacing w:before="0" w:beforeAutospacing="off" w:after="0" w:afterAutospacing="off"/>
              <w:jc w:val="center"/>
            </w:pPr>
            <w:r w:rsidRPr="4A7CC396" w:rsidR="4A7CC396">
              <w:rPr>
                <w:b w:val="1"/>
                <w:bCs w:val="1"/>
                <w:color w:val="000000" w:themeColor="text1" w:themeTint="FF" w:themeShade="FF"/>
              </w:rPr>
              <w:t>Claude Score (0-5)</w:t>
            </w:r>
          </w:p>
        </w:tc>
        <w:tc>
          <w:tcPr>
            <w:tcW w:w="933" w:type="dxa"/>
            <w:tcMar/>
          </w:tcPr>
          <w:p w:rsidR="4A7CC396" w:rsidP="4A7CC396" w:rsidRDefault="4A7CC396" w14:paraId="6FD9B91E" w14:textId="4C39C624">
            <w:pPr>
              <w:bidi w:val="0"/>
              <w:spacing w:before="0" w:beforeAutospacing="off" w:after="0" w:afterAutospacing="off"/>
              <w:jc w:val="center"/>
            </w:pPr>
            <w:r w:rsidRPr="4A7CC396" w:rsidR="4A7CC396">
              <w:rPr>
                <w:b w:val="1"/>
                <w:bCs w:val="1"/>
                <w:color w:val="000000" w:themeColor="text1" w:themeTint="FF" w:themeShade="FF"/>
                <w:lang w:val="en-US"/>
              </w:rPr>
              <w:t>ChatGPT 4.1 Score (0-5)</w:t>
            </w:r>
          </w:p>
        </w:tc>
        <w:tc>
          <w:tcPr>
            <w:tcW w:w="933" w:type="dxa"/>
            <w:tcMar/>
          </w:tcPr>
          <w:p w:rsidR="4A7CC396" w:rsidP="4A7CC396" w:rsidRDefault="4A7CC396" w14:paraId="07025946" w14:textId="723F4567">
            <w:pPr>
              <w:bidi w:val="0"/>
              <w:spacing w:before="0" w:beforeAutospacing="off" w:after="0" w:afterAutospacing="off"/>
              <w:jc w:val="center"/>
            </w:pPr>
            <w:r w:rsidRPr="4A7CC396" w:rsidR="4A7CC396">
              <w:rPr>
                <w:b w:val="1"/>
                <w:bCs w:val="1"/>
                <w:color w:val="000000" w:themeColor="text1" w:themeTint="FF" w:themeShade="FF"/>
                <w:lang w:val="en-US"/>
              </w:rPr>
              <w:t>Llama 4.0 Score (0-5)</w:t>
            </w:r>
          </w:p>
        </w:tc>
        <w:tc>
          <w:tcPr>
            <w:tcW w:w="933" w:type="dxa"/>
            <w:tcMar/>
          </w:tcPr>
          <w:p w:rsidR="4A7CC396" w:rsidP="4A7CC396" w:rsidRDefault="4A7CC396" w14:paraId="187603E2" w14:textId="531CE78D">
            <w:pPr>
              <w:bidi w:val="0"/>
              <w:spacing w:before="0" w:beforeAutospacing="off" w:after="0" w:afterAutospacing="off"/>
              <w:jc w:val="center"/>
            </w:pPr>
            <w:r w:rsidRPr="4A7CC396" w:rsidR="4A7CC396">
              <w:rPr>
                <w:b w:val="1"/>
                <w:bCs w:val="1"/>
                <w:color w:val="000000" w:themeColor="text1" w:themeTint="FF" w:themeShade="FF"/>
              </w:rPr>
              <w:t>Controls Assessed (n)</w:t>
            </w:r>
          </w:p>
        </w:tc>
      </w:tr>
      <w:tr w:rsidR="4A7CC396" w:rsidTr="4A7CC396" w14:paraId="40F76D28">
        <w:trPr>
          <w:trHeight w:val="300"/>
        </w:trPr>
        <w:tc>
          <w:tcPr>
            <w:tcW w:w="1125" w:type="dxa"/>
            <w:tcMar/>
          </w:tcPr>
          <w:p w:rsidR="4A7CC396" w:rsidP="4A7CC396" w:rsidRDefault="4A7CC396" w14:paraId="382FEAA4" w14:textId="466660D0">
            <w:pPr>
              <w:bidi w:val="0"/>
              <w:spacing w:before="0" w:beforeAutospacing="off" w:after="0" w:afterAutospacing="off"/>
            </w:pPr>
            <w:r w:rsidRPr="4A7CC396" w:rsidR="4A7CC396">
              <w:rPr>
                <w:color w:val="000000" w:themeColor="text1" w:themeTint="FF" w:themeShade="FF"/>
              </w:rPr>
              <w:t>NIST CSF</w:t>
            </w:r>
          </w:p>
        </w:tc>
        <w:tc>
          <w:tcPr>
            <w:tcW w:w="741" w:type="dxa"/>
            <w:tcMar/>
          </w:tcPr>
          <w:p w:rsidR="4A7CC396" w:rsidP="4A7CC396" w:rsidRDefault="4A7CC396" w14:paraId="610759DB" w14:textId="3588813D">
            <w:pPr>
              <w:bidi w:val="0"/>
              <w:spacing w:before="0" w:beforeAutospacing="off" w:after="0" w:afterAutospacing="off"/>
            </w:pPr>
            <w:r w:rsidRPr="4A7CC396" w:rsidR="4A7CC396">
              <w:rPr>
                <w:color w:val="000000" w:themeColor="text1" w:themeTint="FF" w:themeShade="FF"/>
              </w:rPr>
              <w:t>1.32</w:t>
            </w:r>
          </w:p>
        </w:tc>
        <w:tc>
          <w:tcPr>
            <w:tcW w:w="933" w:type="dxa"/>
            <w:tcMar/>
          </w:tcPr>
          <w:p w:rsidR="4A7CC396" w:rsidP="4A7CC396" w:rsidRDefault="4A7CC396" w14:paraId="79A70D3E" w14:textId="4C84A888">
            <w:pPr>
              <w:bidi w:val="0"/>
              <w:spacing w:before="0" w:beforeAutospacing="off" w:after="0" w:afterAutospacing="off"/>
            </w:pPr>
            <w:r w:rsidRPr="4A7CC396" w:rsidR="4A7CC396">
              <w:rPr>
                <w:color w:val="000000" w:themeColor="text1" w:themeTint="FF" w:themeShade="FF"/>
              </w:rPr>
              <w:t>2.26</w:t>
            </w:r>
          </w:p>
        </w:tc>
        <w:tc>
          <w:tcPr>
            <w:tcW w:w="933" w:type="dxa"/>
            <w:tcMar/>
          </w:tcPr>
          <w:p w:rsidR="4A7CC396" w:rsidP="4A7CC396" w:rsidRDefault="4A7CC396" w14:paraId="73DB652E" w14:textId="603DBCDC">
            <w:pPr>
              <w:bidi w:val="0"/>
              <w:spacing w:before="0" w:beforeAutospacing="off" w:after="0" w:afterAutospacing="off"/>
            </w:pPr>
            <w:r w:rsidRPr="4A7CC396" w:rsidR="4A7CC396">
              <w:rPr>
                <w:color w:val="000000" w:themeColor="text1" w:themeTint="FF" w:themeShade="FF"/>
              </w:rPr>
              <w:t>2.33</w:t>
            </w:r>
          </w:p>
        </w:tc>
        <w:tc>
          <w:tcPr>
            <w:tcW w:w="933" w:type="dxa"/>
            <w:tcMar/>
          </w:tcPr>
          <w:p w:rsidR="4A7CC396" w:rsidP="4A7CC396" w:rsidRDefault="4A7CC396" w14:paraId="03413441" w14:textId="60A1E449">
            <w:pPr>
              <w:bidi w:val="0"/>
              <w:spacing w:before="0" w:beforeAutospacing="off" w:after="0" w:afterAutospacing="off"/>
            </w:pPr>
            <w:r w:rsidRPr="4A7CC396" w:rsidR="4A7CC396">
              <w:rPr>
                <w:color w:val="000000" w:themeColor="text1" w:themeTint="FF" w:themeShade="FF"/>
              </w:rPr>
              <w:t>26</w:t>
            </w:r>
          </w:p>
        </w:tc>
      </w:tr>
      <w:tr w:rsidR="4A7CC396" w:rsidTr="4A7CC396" w14:paraId="151D9E72">
        <w:trPr>
          <w:trHeight w:val="300"/>
        </w:trPr>
        <w:tc>
          <w:tcPr>
            <w:tcW w:w="1125" w:type="dxa"/>
            <w:tcMar/>
          </w:tcPr>
          <w:p w:rsidR="4A7CC396" w:rsidP="4A7CC396" w:rsidRDefault="4A7CC396" w14:paraId="60B79F91" w14:textId="363AB9FB">
            <w:pPr>
              <w:bidi w:val="0"/>
              <w:spacing w:before="0" w:beforeAutospacing="off" w:after="0" w:afterAutospacing="off"/>
            </w:pPr>
            <w:r w:rsidRPr="4A7CC396" w:rsidR="4A7CC396">
              <w:rPr>
                <w:color w:val="000000" w:themeColor="text1" w:themeTint="FF" w:themeShade="FF"/>
              </w:rPr>
              <w:t>NIST SP 800-53</w:t>
            </w:r>
          </w:p>
        </w:tc>
        <w:tc>
          <w:tcPr>
            <w:tcW w:w="741" w:type="dxa"/>
            <w:tcMar/>
          </w:tcPr>
          <w:p w:rsidR="4A7CC396" w:rsidP="4A7CC396" w:rsidRDefault="4A7CC396" w14:paraId="507260BE" w14:textId="3B49113F">
            <w:pPr>
              <w:bidi w:val="0"/>
              <w:spacing w:before="0" w:beforeAutospacing="off" w:after="0" w:afterAutospacing="off"/>
            </w:pPr>
            <w:r w:rsidRPr="4A7CC396" w:rsidR="4A7CC396">
              <w:rPr>
                <w:color w:val="000000" w:themeColor="text1" w:themeTint="FF" w:themeShade="FF"/>
              </w:rPr>
              <w:t>1.21</w:t>
            </w:r>
          </w:p>
        </w:tc>
        <w:tc>
          <w:tcPr>
            <w:tcW w:w="933" w:type="dxa"/>
            <w:tcMar/>
          </w:tcPr>
          <w:p w:rsidR="4A7CC396" w:rsidP="4A7CC396" w:rsidRDefault="4A7CC396" w14:paraId="6557D02D" w14:textId="7524AD27">
            <w:pPr>
              <w:bidi w:val="0"/>
              <w:spacing w:before="0" w:beforeAutospacing="off" w:after="0" w:afterAutospacing="off"/>
            </w:pPr>
            <w:r w:rsidRPr="4A7CC396" w:rsidR="4A7CC396">
              <w:rPr>
                <w:color w:val="000000" w:themeColor="text1" w:themeTint="FF" w:themeShade="FF"/>
              </w:rPr>
              <w:t>2.32</w:t>
            </w:r>
          </w:p>
        </w:tc>
        <w:tc>
          <w:tcPr>
            <w:tcW w:w="933" w:type="dxa"/>
            <w:tcMar/>
          </w:tcPr>
          <w:p w:rsidR="4A7CC396" w:rsidP="4A7CC396" w:rsidRDefault="4A7CC396" w14:paraId="47D14088" w14:textId="6A148810">
            <w:pPr>
              <w:bidi w:val="0"/>
              <w:spacing w:before="0" w:beforeAutospacing="off" w:after="0" w:afterAutospacing="off"/>
            </w:pPr>
            <w:r w:rsidRPr="4A7CC396" w:rsidR="4A7CC396">
              <w:rPr>
                <w:color w:val="000000" w:themeColor="text1" w:themeTint="FF" w:themeShade="FF"/>
              </w:rPr>
              <w:t>2.27</w:t>
            </w:r>
          </w:p>
        </w:tc>
        <w:tc>
          <w:tcPr>
            <w:tcW w:w="933" w:type="dxa"/>
            <w:tcMar/>
          </w:tcPr>
          <w:p w:rsidR="4A7CC396" w:rsidP="4A7CC396" w:rsidRDefault="4A7CC396" w14:paraId="3BCB8EFC" w14:textId="047F7186">
            <w:pPr>
              <w:bidi w:val="0"/>
              <w:spacing w:before="0" w:beforeAutospacing="off" w:after="0" w:afterAutospacing="off"/>
            </w:pPr>
            <w:r w:rsidRPr="4A7CC396" w:rsidR="4A7CC396">
              <w:rPr>
                <w:color w:val="000000" w:themeColor="text1" w:themeTint="FF" w:themeShade="FF"/>
              </w:rPr>
              <w:t>27</w:t>
            </w:r>
          </w:p>
        </w:tc>
      </w:tr>
      <w:tr w:rsidR="4A7CC396" w:rsidTr="4A7CC396" w14:paraId="2D8D4C3B">
        <w:trPr>
          <w:trHeight w:val="300"/>
        </w:trPr>
        <w:tc>
          <w:tcPr>
            <w:tcW w:w="1125" w:type="dxa"/>
            <w:tcMar/>
          </w:tcPr>
          <w:p w:rsidR="4A7CC396" w:rsidP="4A7CC396" w:rsidRDefault="4A7CC396" w14:paraId="6903B784" w14:textId="7C884401">
            <w:pPr>
              <w:bidi w:val="0"/>
              <w:spacing w:before="0" w:beforeAutospacing="off" w:after="0" w:afterAutospacing="off"/>
            </w:pPr>
            <w:r w:rsidRPr="4A7CC396" w:rsidR="4A7CC396">
              <w:rPr>
                <w:color w:val="000000" w:themeColor="text1" w:themeTint="FF" w:themeShade="FF"/>
              </w:rPr>
              <w:t>ISO/IEC 27001</w:t>
            </w:r>
          </w:p>
        </w:tc>
        <w:tc>
          <w:tcPr>
            <w:tcW w:w="741" w:type="dxa"/>
            <w:tcMar/>
          </w:tcPr>
          <w:p w:rsidR="4A7CC396" w:rsidP="4A7CC396" w:rsidRDefault="4A7CC396" w14:paraId="15E6FE20" w14:textId="24F0218D">
            <w:pPr>
              <w:bidi w:val="0"/>
              <w:spacing w:before="0" w:beforeAutospacing="off" w:after="0" w:afterAutospacing="off"/>
            </w:pPr>
            <w:r w:rsidRPr="4A7CC396" w:rsidR="4A7CC396">
              <w:rPr>
                <w:color w:val="000000" w:themeColor="text1" w:themeTint="FF" w:themeShade="FF"/>
              </w:rPr>
              <w:t>1.82</w:t>
            </w:r>
          </w:p>
        </w:tc>
        <w:tc>
          <w:tcPr>
            <w:tcW w:w="933" w:type="dxa"/>
            <w:tcMar/>
          </w:tcPr>
          <w:p w:rsidR="4A7CC396" w:rsidP="4A7CC396" w:rsidRDefault="4A7CC396" w14:paraId="3D4B64BD" w14:textId="5F0DE841">
            <w:pPr>
              <w:bidi w:val="0"/>
              <w:spacing w:before="0" w:beforeAutospacing="off" w:after="0" w:afterAutospacing="off"/>
            </w:pPr>
            <w:r w:rsidRPr="4A7CC396" w:rsidR="4A7CC396">
              <w:rPr>
                <w:color w:val="000000" w:themeColor="text1" w:themeTint="FF" w:themeShade="FF"/>
              </w:rPr>
              <w:t>2.56</w:t>
            </w:r>
          </w:p>
        </w:tc>
        <w:tc>
          <w:tcPr>
            <w:tcW w:w="933" w:type="dxa"/>
            <w:tcMar/>
          </w:tcPr>
          <w:p w:rsidR="4A7CC396" w:rsidP="4A7CC396" w:rsidRDefault="4A7CC396" w14:paraId="75C40FA2" w14:textId="13997F8D">
            <w:pPr>
              <w:bidi w:val="0"/>
              <w:spacing w:before="0" w:beforeAutospacing="off" w:after="0" w:afterAutospacing="off"/>
            </w:pPr>
            <w:r w:rsidRPr="4A7CC396" w:rsidR="4A7CC396">
              <w:rPr>
                <w:color w:val="000000" w:themeColor="text1" w:themeTint="FF" w:themeShade="FF"/>
              </w:rPr>
              <w:t>2.55</w:t>
            </w:r>
          </w:p>
        </w:tc>
        <w:tc>
          <w:tcPr>
            <w:tcW w:w="933" w:type="dxa"/>
            <w:tcMar/>
          </w:tcPr>
          <w:p w:rsidR="4A7CC396" w:rsidP="4A7CC396" w:rsidRDefault="4A7CC396" w14:paraId="1387D8FD" w14:textId="22EE130B">
            <w:pPr>
              <w:bidi w:val="0"/>
              <w:spacing w:before="0" w:beforeAutospacing="off" w:after="0" w:afterAutospacing="off"/>
            </w:pPr>
            <w:r w:rsidRPr="4A7CC396" w:rsidR="4A7CC396">
              <w:rPr>
                <w:color w:val="000000" w:themeColor="text1" w:themeTint="FF" w:themeShade="FF"/>
              </w:rPr>
              <w:t>24</w:t>
            </w:r>
          </w:p>
        </w:tc>
      </w:tr>
      <w:tr w:rsidR="4A7CC396" w:rsidTr="4A7CC396" w14:paraId="1B15AF95">
        <w:trPr>
          <w:trHeight w:val="300"/>
        </w:trPr>
        <w:tc>
          <w:tcPr>
            <w:tcW w:w="1125" w:type="dxa"/>
            <w:tcMar/>
          </w:tcPr>
          <w:p w:rsidR="4A7CC396" w:rsidP="4A7CC396" w:rsidRDefault="4A7CC396" w14:paraId="29590415" w14:textId="3F6F5567">
            <w:pPr>
              <w:bidi w:val="0"/>
              <w:spacing w:before="0" w:beforeAutospacing="off" w:after="0" w:afterAutospacing="off"/>
            </w:pPr>
            <w:r w:rsidRPr="4A7CC396" w:rsidR="4A7CC396">
              <w:rPr>
                <w:color w:val="000000" w:themeColor="text1" w:themeTint="FF" w:themeShade="FF"/>
              </w:rPr>
              <w:t>CIS CSC</w:t>
            </w:r>
          </w:p>
        </w:tc>
        <w:tc>
          <w:tcPr>
            <w:tcW w:w="741" w:type="dxa"/>
            <w:tcMar/>
          </w:tcPr>
          <w:p w:rsidR="4A7CC396" w:rsidP="4A7CC396" w:rsidRDefault="4A7CC396" w14:paraId="2BF55A7B" w14:textId="491916CC">
            <w:pPr>
              <w:bidi w:val="0"/>
              <w:spacing w:before="0" w:beforeAutospacing="off" w:after="0" w:afterAutospacing="off"/>
            </w:pPr>
            <w:r w:rsidRPr="4A7CC396" w:rsidR="4A7CC396">
              <w:rPr>
                <w:color w:val="000000" w:themeColor="text1" w:themeTint="FF" w:themeShade="FF"/>
              </w:rPr>
              <w:t>1.21</w:t>
            </w:r>
          </w:p>
        </w:tc>
        <w:tc>
          <w:tcPr>
            <w:tcW w:w="933" w:type="dxa"/>
            <w:tcMar/>
          </w:tcPr>
          <w:p w:rsidR="4A7CC396" w:rsidP="4A7CC396" w:rsidRDefault="4A7CC396" w14:paraId="38F08468" w14:textId="0E88B329">
            <w:pPr>
              <w:bidi w:val="0"/>
              <w:spacing w:before="0" w:beforeAutospacing="off" w:after="0" w:afterAutospacing="off"/>
            </w:pPr>
            <w:r w:rsidRPr="4A7CC396" w:rsidR="4A7CC396">
              <w:rPr>
                <w:color w:val="000000" w:themeColor="text1" w:themeTint="FF" w:themeShade="FF"/>
              </w:rPr>
              <w:t>2.55</w:t>
            </w:r>
          </w:p>
        </w:tc>
        <w:tc>
          <w:tcPr>
            <w:tcW w:w="933" w:type="dxa"/>
            <w:tcMar/>
          </w:tcPr>
          <w:p w:rsidR="4A7CC396" w:rsidP="4A7CC396" w:rsidRDefault="4A7CC396" w14:paraId="1E4AAEF8" w14:textId="6819BDB8">
            <w:pPr>
              <w:bidi w:val="0"/>
              <w:spacing w:before="0" w:beforeAutospacing="off" w:after="0" w:afterAutospacing="off"/>
            </w:pPr>
            <w:r w:rsidRPr="4A7CC396" w:rsidR="4A7CC396">
              <w:rPr>
                <w:color w:val="000000" w:themeColor="text1" w:themeTint="FF" w:themeShade="FF"/>
              </w:rPr>
              <w:t>2.58</w:t>
            </w:r>
          </w:p>
        </w:tc>
        <w:tc>
          <w:tcPr>
            <w:tcW w:w="933" w:type="dxa"/>
            <w:tcMar/>
          </w:tcPr>
          <w:p w:rsidR="4A7CC396" w:rsidP="4A7CC396" w:rsidRDefault="4A7CC396" w14:paraId="5D0E1DEA" w14:textId="44DBAC22">
            <w:pPr>
              <w:bidi w:val="0"/>
              <w:spacing w:before="0" w:beforeAutospacing="off" w:after="0" w:afterAutospacing="off"/>
            </w:pPr>
            <w:r w:rsidRPr="4A7CC396" w:rsidR="4A7CC396">
              <w:rPr>
                <w:color w:val="000000" w:themeColor="text1" w:themeTint="FF" w:themeShade="FF"/>
              </w:rPr>
              <w:t>18</w:t>
            </w:r>
          </w:p>
        </w:tc>
      </w:tr>
      <w:tr w:rsidR="4A7CC396" w:rsidTr="4A7CC396" w14:paraId="3AC438B5">
        <w:trPr>
          <w:trHeight w:val="300"/>
        </w:trPr>
        <w:tc>
          <w:tcPr>
            <w:tcW w:w="1125" w:type="dxa"/>
            <w:tcMar/>
          </w:tcPr>
          <w:p w:rsidR="4A7CC396" w:rsidP="4A7CC396" w:rsidRDefault="4A7CC396" w14:paraId="44FAE956" w14:textId="72805A64">
            <w:pPr>
              <w:bidi w:val="0"/>
              <w:spacing w:before="0" w:beforeAutospacing="off" w:after="0" w:afterAutospacing="off"/>
            </w:pPr>
            <w:r w:rsidRPr="4A7CC396" w:rsidR="4A7CC396">
              <w:rPr>
                <w:color w:val="000000" w:themeColor="text1" w:themeTint="FF" w:themeShade="FF"/>
              </w:rPr>
              <w:t>CMMC</w:t>
            </w:r>
          </w:p>
        </w:tc>
        <w:tc>
          <w:tcPr>
            <w:tcW w:w="741" w:type="dxa"/>
            <w:tcMar/>
          </w:tcPr>
          <w:p w:rsidR="4A7CC396" w:rsidP="4A7CC396" w:rsidRDefault="4A7CC396" w14:paraId="5B165502" w14:textId="326044C9">
            <w:pPr>
              <w:bidi w:val="0"/>
              <w:spacing w:before="0" w:beforeAutospacing="off" w:after="0" w:afterAutospacing="off"/>
            </w:pPr>
            <w:r w:rsidRPr="4A7CC396" w:rsidR="4A7CC396">
              <w:rPr>
                <w:color w:val="000000" w:themeColor="text1" w:themeTint="FF" w:themeShade="FF"/>
              </w:rPr>
              <w:t>1.35</w:t>
            </w:r>
          </w:p>
        </w:tc>
        <w:tc>
          <w:tcPr>
            <w:tcW w:w="933" w:type="dxa"/>
            <w:tcMar/>
          </w:tcPr>
          <w:p w:rsidR="4A7CC396" w:rsidP="4A7CC396" w:rsidRDefault="4A7CC396" w14:paraId="120C7DC9" w14:textId="408C0EC5">
            <w:pPr>
              <w:bidi w:val="0"/>
              <w:spacing w:before="0" w:beforeAutospacing="off" w:after="0" w:afterAutospacing="off"/>
            </w:pPr>
            <w:r w:rsidRPr="4A7CC396" w:rsidR="4A7CC396">
              <w:rPr>
                <w:color w:val="000000" w:themeColor="text1" w:themeTint="FF" w:themeShade="FF"/>
              </w:rPr>
              <w:t>2.32</w:t>
            </w:r>
          </w:p>
        </w:tc>
        <w:tc>
          <w:tcPr>
            <w:tcW w:w="933" w:type="dxa"/>
            <w:tcMar/>
          </w:tcPr>
          <w:p w:rsidR="4A7CC396" w:rsidP="4A7CC396" w:rsidRDefault="4A7CC396" w14:paraId="610C3FF3" w14:textId="1956757D">
            <w:pPr>
              <w:bidi w:val="0"/>
              <w:spacing w:before="0" w:beforeAutospacing="off" w:after="0" w:afterAutospacing="off"/>
            </w:pPr>
            <w:r w:rsidRPr="4A7CC396" w:rsidR="4A7CC396">
              <w:rPr>
                <w:color w:val="000000" w:themeColor="text1" w:themeTint="FF" w:themeShade="FF"/>
              </w:rPr>
              <w:t>2.38</w:t>
            </w:r>
          </w:p>
        </w:tc>
        <w:tc>
          <w:tcPr>
            <w:tcW w:w="933" w:type="dxa"/>
            <w:tcMar/>
          </w:tcPr>
          <w:p w:rsidR="4A7CC396" w:rsidP="4A7CC396" w:rsidRDefault="4A7CC396" w14:paraId="6C17B532" w14:textId="7630CE4F">
            <w:pPr>
              <w:bidi w:val="0"/>
              <w:spacing w:before="0" w:beforeAutospacing="off" w:after="0" w:afterAutospacing="off"/>
            </w:pPr>
            <w:r w:rsidRPr="4A7CC396" w:rsidR="4A7CC396">
              <w:rPr>
                <w:color w:val="000000" w:themeColor="text1" w:themeTint="FF" w:themeShade="FF"/>
              </w:rPr>
              <w:t>20</w:t>
            </w:r>
          </w:p>
        </w:tc>
      </w:tr>
      <w:tr w:rsidR="4A7CC396" w:rsidTr="4A7CC396" w14:paraId="6F013F71">
        <w:trPr>
          <w:trHeight w:val="300"/>
        </w:trPr>
        <w:tc>
          <w:tcPr>
            <w:tcW w:w="1125" w:type="dxa"/>
            <w:tcMar/>
          </w:tcPr>
          <w:p w:rsidR="4A7CC396" w:rsidP="4A7CC396" w:rsidRDefault="4A7CC396" w14:paraId="2D11DE3C" w14:textId="29817189">
            <w:pPr>
              <w:bidi w:val="0"/>
              <w:spacing w:before="0" w:beforeAutospacing="off" w:after="0" w:afterAutospacing="off"/>
            </w:pPr>
            <w:r w:rsidRPr="4A7CC396" w:rsidR="4A7CC396">
              <w:rPr>
                <w:color w:val="000000" w:themeColor="text1" w:themeTint="FF" w:themeShade="FF"/>
              </w:rPr>
              <w:t>HIPAA</w:t>
            </w:r>
          </w:p>
        </w:tc>
        <w:tc>
          <w:tcPr>
            <w:tcW w:w="741" w:type="dxa"/>
            <w:tcMar/>
          </w:tcPr>
          <w:p w:rsidR="4A7CC396" w:rsidP="4A7CC396" w:rsidRDefault="4A7CC396" w14:paraId="401FE5E7" w14:textId="1BEEA91F">
            <w:pPr>
              <w:bidi w:val="0"/>
              <w:spacing w:before="0" w:beforeAutospacing="off" w:after="0" w:afterAutospacing="off"/>
            </w:pPr>
            <w:r w:rsidRPr="4A7CC396" w:rsidR="4A7CC396">
              <w:rPr>
                <w:color w:val="000000" w:themeColor="text1" w:themeTint="FF" w:themeShade="FF"/>
              </w:rPr>
              <w:t>1.77</w:t>
            </w:r>
          </w:p>
        </w:tc>
        <w:tc>
          <w:tcPr>
            <w:tcW w:w="933" w:type="dxa"/>
            <w:tcMar/>
          </w:tcPr>
          <w:p w:rsidR="4A7CC396" w:rsidP="4A7CC396" w:rsidRDefault="4A7CC396" w14:paraId="4EF6C2D8" w14:textId="091F6996">
            <w:pPr>
              <w:bidi w:val="0"/>
              <w:spacing w:before="0" w:beforeAutospacing="off" w:after="0" w:afterAutospacing="off"/>
            </w:pPr>
            <w:r w:rsidRPr="4A7CC396" w:rsidR="4A7CC396">
              <w:rPr>
                <w:color w:val="000000" w:themeColor="text1" w:themeTint="FF" w:themeShade="FF"/>
              </w:rPr>
              <w:t>2.43</w:t>
            </w:r>
          </w:p>
        </w:tc>
        <w:tc>
          <w:tcPr>
            <w:tcW w:w="933" w:type="dxa"/>
            <w:tcMar/>
          </w:tcPr>
          <w:p w:rsidR="4A7CC396" w:rsidP="4A7CC396" w:rsidRDefault="4A7CC396" w14:paraId="55E23761" w14:textId="72797F96">
            <w:pPr>
              <w:bidi w:val="0"/>
              <w:spacing w:before="0" w:beforeAutospacing="off" w:after="0" w:afterAutospacing="off"/>
            </w:pPr>
            <w:r w:rsidRPr="4A7CC396" w:rsidR="4A7CC396">
              <w:rPr>
                <w:color w:val="000000" w:themeColor="text1" w:themeTint="FF" w:themeShade="FF"/>
              </w:rPr>
              <w:t>2.64</w:t>
            </w:r>
          </w:p>
        </w:tc>
        <w:tc>
          <w:tcPr>
            <w:tcW w:w="933" w:type="dxa"/>
            <w:tcMar/>
          </w:tcPr>
          <w:p w:rsidR="4A7CC396" w:rsidP="4A7CC396" w:rsidRDefault="4A7CC396" w14:paraId="627E49C8" w14:textId="01020E94">
            <w:pPr>
              <w:bidi w:val="0"/>
              <w:spacing w:before="0" w:beforeAutospacing="off" w:after="0" w:afterAutospacing="off"/>
            </w:pPr>
            <w:r w:rsidRPr="4A7CC396" w:rsidR="4A7CC396">
              <w:rPr>
                <w:color w:val="000000" w:themeColor="text1" w:themeTint="FF" w:themeShade="FF"/>
              </w:rPr>
              <w:t>20</w:t>
            </w:r>
          </w:p>
        </w:tc>
      </w:tr>
      <w:tr w:rsidR="4A7CC396" w:rsidTr="4A7CC396" w14:paraId="020DCB73">
        <w:trPr>
          <w:trHeight w:val="300"/>
        </w:trPr>
        <w:tc>
          <w:tcPr>
            <w:tcW w:w="1125" w:type="dxa"/>
            <w:tcMar/>
          </w:tcPr>
          <w:p w:rsidR="4A7CC396" w:rsidP="4A7CC396" w:rsidRDefault="4A7CC396" w14:paraId="2C0C6112" w14:textId="11038201">
            <w:pPr>
              <w:bidi w:val="0"/>
              <w:spacing w:before="0" w:beforeAutospacing="off" w:after="0" w:afterAutospacing="off"/>
            </w:pPr>
            <w:r w:rsidRPr="4A7CC396" w:rsidR="4A7CC396">
              <w:rPr>
                <w:color w:val="000000" w:themeColor="text1" w:themeTint="FF" w:themeShade="FF"/>
              </w:rPr>
              <w:t>PCI DSS</w:t>
            </w:r>
          </w:p>
        </w:tc>
        <w:tc>
          <w:tcPr>
            <w:tcW w:w="741" w:type="dxa"/>
            <w:tcMar/>
          </w:tcPr>
          <w:p w:rsidR="4A7CC396" w:rsidP="4A7CC396" w:rsidRDefault="4A7CC396" w14:paraId="294F85F7" w14:textId="6A965910">
            <w:pPr>
              <w:bidi w:val="0"/>
              <w:spacing w:before="0" w:beforeAutospacing="off" w:after="0" w:afterAutospacing="off"/>
            </w:pPr>
            <w:r w:rsidRPr="4A7CC396" w:rsidR="4A7CC396">
              <w:rPr>
                <w:color w:val="000000" w:themeColor="text1" w:themeTint="FF" w:themeShade="FF"/>
              </w:rPr>
              <w:t>1.22</w:t>
            </w:r>
          </w:p>
        </w:tc>
        <w:tc>
          <w:tcPr>
            <w:tcW w:w="933" w:type="dxa"/>
            <w:tcMar/>
          </w:tcPr>
          <w:p w:rsidR="4A7CC396" w:rsidP="4A7CC396" w:rsidRDefault="4A7CC396" w14:paraId="15CAB04B" w14:textId="691616E2">
            <w:pPr>
              <w:bidi w:val="0"/>
              <w:spacing w:before="0" w:beforeAutospacing="off" w:after="0" w:afterAutospacing="off"/>
            </w:pPr>
            <w:r w:rsidRPr="4A7CC396" w:rsidR="4A7CC396">
              <w:rPr>
                <w:color w:val="000000" w:themeColor="text1" w:themeTint="FF" w:themeShade="FF"/>
              </w:rPr>
              <w:t>2.15</w:t>
            </w:r>
          </w:p>
        </w:tc>
        <w:tc>
          <w:tcPr>
            <w:tcW w:w="933" w:type="dxa"/>
            <w:tcMar/>
          </w:tcPr>
          <w:p w:rsidR="4A7CC396" w:rsidP="4A7CC396" w:rsidRDefault="4A7CC396" w14:paraId="01436C0C" w14:textId="7CF6DC94">
            <w:pPr>
              <w:bidi w:val="0"/>
              <w:spacing w:before="0" w:beforeAutospacing="off" w:after="0" w:afterAutospacing="off"/>
            </w:pPr>
            <w:r w:rsidRPr="4A7CC396" w:rsidR="4A7CC396">
              <w:rPr>
                <w:color w:val="000000" w:themeColor="text1" w:themeTint="FF" w:themeShade="FF"/>
              </w:rPr>
              <w:t>2.22</w:t>
            </w:r>
          </w:p>
        </w:tc>
        <w:tc>
          <w:tcPr>
            <w:tcW w:w="933" w:type="dxa"/>
            <w:tcMar/>
          </w:tcPr>
          <w:p w:rsidR="4A7CC396" w:rsidP="4A7CC396" w:rsidRDefault="4A7CC396" w14:paraId="0A177A39" w14:textId="63FC1120">
            <w:pPr>
              <w:bidi w:val="0"/>
              <w:spacing w:before="0" w:beforeAutospacing="off" w:after="0" w:afterAutospacing="off"/>
            </w:pPr>
            <w:r w:rsidRPr="4A7CC396" w:rsidR="4A7CC396">
              <w:rPr>
                <w:color w:val="000000" w:themeColor="text1" w:themeTint="FF" w:themeShade="FF"/>
              </w:rPr>
              <w:t>23</w:t>
            </w:r>
          </w:p>
        </w:tc>
      </w:tr>
      <w:tr w:rsidR="4A7CC396" w:rsidTr="4A7CC396" w14:paraId="051B73AF">
        <w:trPr>
          <w:trHeight w:val="300"/>
        </w:trPr>
        <w:tc>
          <w:tcPr>
            <w:tcW w:w="1125" w:type="dxa"/>
            <w:tcMar/>
          </w:tcPr>
          <w:p w:rsidR="4A7CC396" w:rsidP="4A7CC396" w:rsidRDefault="4A7CC396" w14:paraId="3D51D31D" w14:textId="0768C39B">
            <w:pPr>
              <w:bidi w:val="0"/>
              <w:spacing w:before="0" w:beforeAutospacing="off" w:after="0" w:afterAutospacing="off"/>
            </w:pPr>
            <w:r w:rsidRPr="4A7CC396" w:rsidR="4A7CC396">
              <w:rPr>
                <w:color w:val="000000" w:themeColor="text1" w:themeTint="FF" w:themeShade="FF"/>
              </w:rPr>
              <w:t>CSA CCM</w:t>
            </w:r>
          </w:p>
        </w:tc>
        <w:tc>
          <w:tcPr>
            <w:tcW w:w="741" w:type="dxa"/>
            <w:tcMar/>
          </w:tcPr>
          <w:p w:rsidR="4A7CC396" w:rsidP="4A7CC396" w:rsidRDefault="4A7CC396" w14:paraId="59D4DD13" w14:textId="2B357AA9">
            <w:pPr>
              <w:bidi w:val="0"/>
              <w:spacing w:before="0" w:beforeAutospacing="off" w:after="0" w:afterAutospacing="off"/>
            </w:pPr>
            <w:r w:rsidRPr="4A7CC396" w:rsidR="4A7CC396">
              <w:rPr>
                <w:color w:val="000000" w:themeColor="text1" w:themeTint="FF" w:themeShade="FF"/>
              </w:rPr>
              <w:t>1.26</w:t>
            </w:r>
          </w:p>
        </w:tc>
        <w:tc>
          <w:tcPr>
            <w:tcW w:w="933" w:type="dxa"/>
            <w:tcMar/>
          </w:tcPr>
          <w:p w:rsidR="4A7CC396" w:rsidP="4A7CC396" w:rsidRDefault="4A7CC396" w14:paraId="1711D50E" w14:textId="68E6C947">
            <w:pPr>
              <w:bidi w:val="0"/>
              <w:spacing w:before="0" w:beforeAutospacing="off" w:after="0" w:afterAutospacing="off"/>
            </w:pPr>
            <w:r w:rsidRPr="4A7CC396" w:rsidR="4A7CC396">
              <w:rPr>
                <w:color w:val="000000" w:themeColor="text1" w:themeTint="FF" w:themeShade="FF"/>
              </w:rPr>
              <w:t>2.33</w:t>
            </w:r>
          </w:p>
        </w:tc>
        <w:tc>
          <w:tcPr>
            <w:tcW w:w="933" w:type="dxa"/>
            <w:tcMar/>
          </w:tcPr>
          <w:p w:rsidR="4A7CC396" w:rsidP="4A7CC396" w:rsidRDefault="4A7CC396" w14:paraId="50A07E54" w14:textId="3A86EA49">
            <w:pPr>
              <w:bidi w:val="0"/>
              <w:spacing w:before="0" w:beforeAutospacing="off" w:after="0" w:afterAutospacing="off"/>
            </w:pPr>
            <w:r w:rsidRPr="4A7CC396" w:rsidR="4A7CC396">
              <w:rPr>
                <w:color w:val="000000" w:themeColor="text1" w:themeTint="FF" w:themeShade="FF"/>
              </w:rPr>
              <w:t>2.22</w:t>
            </w:r>
          </w:p>
        </w:tc>
        <w:tc>
          <w:tcPr>
            <w:tcW w:w="933" w:type="dxa"/>
            <w:tcMar/>
          </w:tcPr>
          <w:p w:rsidR="4A7CC396" w:rsidP="4A7CC396" w:rsidRDefault="4A7CC396" w14:paraId="637D3375" w14:textId="058A5637">
            <w:pPr>
              <w:bidi w:val="0"/>
              <w:spacing w:before="0" w:beforeAutospacing="off" w:after="0" w:afterAutospacing="off"/>
            </w:pPr>
            <w:r w:rsidRPr="4A7CC396" w:rsidR="4A7CC396">
              <w:rPr>
                <w:color w:val="000000" w:themeColor="text1" w:themeTint="FF" w:themeShade="FF"/>
              </w:rPr>
              <w:t>25</w:t>
            </w:r>
          </w:p>
        </w:tc>
      </w:tr>
      <w:tr w:rsidR="4A7CC396" w:rsidTr="4A7CC396" w14:paraId="0E854935">
        <w:trPr>
          <w:trHeight w:val="300"/>
        </w:trPr>
        <w:tc>
          <w:tcPr>
            <w:tcW w:w="1125" w:type="dxa"/>
            <w:tcMar/>
          </w:tcPr>
          <w:p w:rsidR="4A7CC396" w:rsidP="4A7CC396" w:rsidRDefault="4A7CC396" w14:paraId="26EAEE56" w14:textId="5587F527">
            <w:pPr>
              <w:bidi w:val="0"/>
              <w:spacing w:before="0" w:beforeAutospacing="off" w:after="0" w:afterAutospacing="off"/>
            </w:pPr>
            <w:r w:rsidRPr="4A7CC396" w:rsidR="4A7CC396">
              <w:rPr>
                <w:color w:val="000000" w:themeColor="text1" w:themeTint="FF" w:themeShade="FF"/>
              </w:rPr>
              <w:t>FTC Safeguards</w:t>
            </w:r>
          </w:p>
        </w:tc>
        <w:tc>
          <w:tcPr>
            <w:tcW w:w="741" w:type="dxa"/>
            <w:tcMar/>
          </w:tcPr>
          <w:p w:rsidR="4A7CC396" w:rsidP="4A7CC396" w:rsidRDefault="4A7CC396" w14:paraId="5EC9B32B" w14:textId="3176EA5A">
            <w:pPr>
              <w:bidi w:val="0"/>
              <w:spacing w:before="0" w:beforeAutospacing="off" w:after="0" w:afterAutospacing="off"/>
            </w:pPr>
            <w:r w:rsidRPr="4A7CC396" w:rsidR="4A7CC396">
              <w:rPr>
                <w:color w:val="000000" w:themeColor="text1" w:themeTint="FF" w:themeShade="FF"/>
              </w:rPr>
              <w:t>2.27</w:t>
            </w:r>
          </w:p>
        </w:tc>
        <w:tc>
          <w:tcPr>
            <w:tcW w:w="933" w:type="dxa"/>
            <w:tcMar/>
          </w:tcPr>
          <w:p w:rsidR="4A7CC396" w:rsidP="4A7CC396" w:rsidRDefault="4A7CC396" w14:paraId="38B1E78A" w14:textId="41E20B76">
            <w:pPr>
              <w:bidi w:val="0"/>
              <w:spacing w:before="0" w:beforeAutospacing="off" w:after="0" w:afterAutospacing="off"/>
            </w:pPr>
            <w:r w:rsidRPr="4A7CC396" w:rsidR="4A7CC396">
              <w:rPr>
                <w:color w:val="000000" w:themeColor="text1" w:themeTint="FF" w:themeShade="FF"/>
              </w:rPr>
              <w:t>2.47</w:t>
            </w:r>
          </w:p>
        </w:tc>
        <w:tc>
          <w:tcPr>
            <w:tcW w:w="933" w:type="dxa"/>
            <w:tcMar/>
          </w:tcPr>
          <w:p w:rsidR="4A7CC396" w:rsidP="4A7CC396" w:rsidRDefault="4A7CC396" w14:paraId="1A312959" w14:textId="2B521969">
            <w:pPr>
              <w:bidi w:val="0"/>
              <w:spacing w:before="0" w:beforeAutospacing="off" w:after="0" w:afterAutospacing="off"/>
            </w:pPr>
            <w:r w:rsidRPr="4A7CC396" w:rsidR="4A7CC396">
              <w:rPr>
                <w:color w:val="000000" w:themeColor="text1" w:themeTint="FF" w:themeShade="FF"/>
              </w:rPr>
              <w:t>2.44</w:t>
            </w:r>
          </w:p>
        </w:tc>
        <w:tc>
          <w:tcPr>
            <w:tcW w:w="933" w:type="dxa"/>
            <w:tcMar/>
          </w:tcPr>
          <w:p w:rsidR="4A7CC396" w:rsidP="4A7CC396" w:rsidRDefault="4A7CC396" w14:paraId="20C21A63" w14:textId="0B34697F">
            <w:pPr>
              <w:bidi w:val="0"/>
              <w:spacing w:before="0" w:beforeAutospacing="off" w:after="0" w:afterAutospacing="off"/>
            </w:pPr>
            <w:r w:rsidRPr="4A7CC396" w:rsidR="4A7CC396">
              <w:rPr>
                <w:color w:val="000000" w:themeColor="text1" w:themeTint="FF" w:themeShade="FF"/>
              </w:rPr>
              <w:t>16</w:t>
            </w:r>
          </w:p>
        </w:tc>
      </w:tr>
      <w:tr w:rsidR="4A7CC396" w:rsidTr="4A7CC396" w14:paraId="74E8B084">
        <w:trPr>
          <w:trHeight w:val="300"/>
        </w:trPr>
        <w:tc>
          <w:tcPr>
            <w:tcW w:w="1125" w:type="dxa"/>
            <w:tcMar/>
          </w:tcPr>
          <w:p w:rsidR="4A7CC396" w:rsidP="4A7CC396" w:rsidRDefault="4A7CC396" w14:paraId="7A429DCC" w14:textId="24445B1D">
            <w:pPr>
              <w:bidi w:val="0"/>
              <w:spacing w:before="0" w:beforeAutospacing="off" w:after="0" w:afterAutospacing="off"/>
            </w:pPr>
            <w:r w:rsidRPr="4A7CC396" w:rsidR="4A7CC396">
              <w:rPr>
                <w:color w:val="000000" w:themeColor="text1" w:themeTint="FF" w:themeShade="FF"/>
              </w:rPr>
              <w:t>Framework Average</w:t>
            </w:r>
          </w:p>
        </w:tc>
        <w:tc>
          <w:tcPr>
            <w:tcW w:w="741" w:type="dxa"/>
            <w:tcMar/>
          </w:tcPr>
          <w:p w:rsidR="4A7CC396" w:rsidP="4A7CC396" w:rsidRDefault="4A7CC396" w14:paraId="055351DA" w14:textId="2069C123">
            <w:pPr>
              <w:bidi w:val="0"/>
              <w:spacing w:before="0" w:beforeAutospacing="off" w:after="0" w:afterAutospacing="off"/>
            </w:pPr>
            <w:r w:rsidRPr="4A7CC396" w:rsidR="4A7CC396">
              <w:rPr>
                <w:color w:val="000000" w:themeColor="text1" w:themeTint="FF" w:themeShade="FF"/>
              </w:rPr>
              <w:t>1.49</w:t>
            </w:r>
          </w:p>
        </w:tc>
        <w:tc>
          <w:tcPr>
            <w:tcW w:w="933" w:type="dxa"/>
            <w:tcMar/>
          </w:tcPr>
          <w:p w:rsidR="4A7CC396" w:rsidP="4A7CC396" w:rsidRDefault="4A7CC396" w14:paraId="4C115F0C" w14:textId="73F233E6">
            <w:pPr>
              <w:bidi w:val="0"/>
              <w:spacing w:before="0" w:beforeAutospacing="off" w:after="0" w:afterAutospacing="off"/>
            </w:pPr>
            <w:r w:rsidRPr="4A7CC396" w:rsidR="4A7CC396">
              <w:rPr>
                <w:color w:val="000000" w:themeColor="text1" w:themeTint="FF" w:themeShade="FF"/>
              </w:rPr>
              <w:t>2.38</w:t>
            </w:r>
          </w:p>
        </w:tc>
        <w:tc>
          <w:tcPr>
            <w:tcW w:w="933" w:type="dxa"/>
            <w:tcMar/>
          </w:tcPr>
          <w:p w:rsidR="4A7CC396" w:rsidP="4A7CC396" w:rsidRDefault="4A7CC396" w14:paraId="201059F4" w14:textId="2AC89662">
            <w:pPr>
              <w:bidi w:val="0"/>
              <w:spacing w:before="0" w:beforeAutospacing="off" w:after="0" w:afterAutospacing="off"/>
            </w:pPr>
            <w:r w:rsidRPr="4A7CC396" w:rsidR="4A7CC396">
              <w:rPr>
                <w:color w:val="000000" w:themeColor="text1" w:themeTint="FF" w:themeShade="FF"/>
              </w:rPr>
              <w:t>2.40</w:t>
            </w:r>
          </w:p>
        </w:tc>
        <w:tc>
          <w:tcPr>
            <w:tcW w:w="933" w:type="dxa"/>
            <w:tcMar/>
          </w:tcPr>
          <w:p w:rsidR="4A7CC396" w:rsidP="4A7CC396" w:rsidRDefault="4A7CC396" w14:paraId="508A2FBB" w14:textId="691E123E">
            <w:pPr>
              <w:bidi w:val="0"/>
              <w:spacing w:before="0" w:beforeAutospacing="off" w:after="0" w:afterAutospacing="off"/>
            </w:pPr>
            <w:r w:rsidRPr="4A7CC396" w:rsidR="4A7CC396">
              <w:rPr>
                <w:color w:val="000000" w:themeColor="text1" w:themeTint="FF" w:themeShade="FF"/>
              </w:rPr>
              <w:t>199</w:t>
            </w:r>
          </w:p>
        </w:tc>
      </w:tr>
    </w:tbl>
    <w:p w:rsidR="61F9B131" w:rsidP="4A7CC396" w:rsidRDefault="61F9B131" w14:paraId="741A6F27" w14:textId="3E616C37">
      <w:pPr>
        <w:keepNext w:val="1"/>
        <w:keepLines w:val="1"/>
        <w:bidi w:val="0"/>
        <w:spacing w:before="240" w:beforeAutospacing="off" w:after="60"/>
        <w:jc w:val="both"/>
      </w:pPr>
      <w:r w:rsidRPr="4A7CC396" w:rsidR="4853E874">
        <w:rPr>
          <w:rFonts w:ascii="Aptos" w:hAnsi="Aptos" w:eastAsia="Aptos" w:cs="Aptos"/>
          <w:noProof w:val="0"/>
          <w:color w:val="000000" w:themeColor="text1" w:themeTint="FF" w:themeShade="FF"/>
          <w:sz w:val="20"/>
          <w:szCs w:val="20"/>
          <w:lang w:val="en-US"/>
        </w:rPr>
        <w:t>Table</w:t>
      </w:r>
      <w:r w:rsidRPr="4A7CC396" w:rsidR="09E61756">
        <w:rPr>
          <w:rFonts w:ascii="Aptos" w:hAnsi="Aptos" w:eastAsia="Aptos" w:cs="Aptos"/>
          <w:noProof w:val="0"/>
          <w:color w:val="000000" w:themeColor="text1" w:themeTint="FF" w:themeShade="FF"/>
          <w:sz w:val="20"/>
          <w:szCs w:val="20"/>
          <w:lang w:val="en-US"/>
        </w:rPr>
        <w:t xml:space="preserve"> </w:t>
      </w:r>
      <w:r w:rsidRPr="4A7CC396" w:rsidR="00D0DE14">
        <w:rPr>
          <w:rFonts w:ascii="Aptos" w:hAnsi="Aptos" w:eastAsia="Aptos" w:cs="Aptos"/>
          <w:noProof w:val="0"/>
          <w:color w:val="000000" w:themeColor="text1" w:themeTint="FF" w:themeShade="FF"/>
          <w:sz w:val="20"/>
          <w:szCs w:val="20"/>
          <w:lang w:val="en-US"/>
        </w:rPr>
        <w:t>6</w:t>
      </w:r>
      <w:r w:rsidRPr="4A7CC396" w:rsidR="4853E874">
        <w:rPr>
          <w:rFonts w:ascii="Aptos" w:hAnsi="Aptos" w:eastAsia="Aptos" w:cs="Aptos"/>
          <w:noProof w:val="0"/>
          <w:color w:val="000000" w:themeColor="text1" w:themeTint="FF" w:themeShade="FF"/>
          <w:sz w:val="20"/>
          <w:szCs w:val="20"/>
          <w:lang w:val="en-US"/>
        </w:rPr>
        <w:t xml:space="preserve"> </w:t>
      </w:r>
      <w:r w:rsidRPr="4A7CC396" w:rsidR="4853E874">
        <w:rPr>
          <w:rFonts w:ascii="Aptos" w:hAnsi="Aptos" w:eastAsia="Aptos" w:cs="Aptos"/>
          <w:noProof w:val="0"/>
          <w:color w:val="000000" w:themeColor="text1" w:themeTint="FF" w:themeShade="FF"/>
          <w:sz w:val="20"/>
          <w:szCs w:val="20"/>
          <w:lang w:val="en-US"/>
        </w:rPr>
        <w:t xml:space="preserve">summarizes </w:t>
      </w:r>
      <w:r w:rsidRPr="4A7CC396" w:rsidR="4853E874">
        <w:rPr>
          <w:rFonts w:ascii="Aptos" w:hAnsi="Aptos" w:eastAsia="Aptos" w:cs="Aptos"/>
          <w:noProof w:val="0"/>
          <w:color w:val="000000" w:themeColor="text1" w:themeTint="FF" w:themeShade="FF"/>
          <w:sz w:val="20"/>
          <w:szCs w:val="20"/>
          <w:lang w:val="en-US"/>
        </w:rPr>
        <w:t>the comparative analysis by reporting the Private Sector Mean, Public Sector Mean, and Organizational Difference for each framework after aggregating the three models' scores.</w:t>
      </w:r>
    </w:p>
    <w:p w:rsidR="61F9B131" w:rsidP="4A7CC396" w:rsidRDefault="61F9B131" w14:paraId="33E4F342" w14:textId="0F76C369">
      <w:pPr>
        <w:pStyle w:val="Normal"/>
        <w:keepNext w:val="1"/>
        <w:keepLines w:val="1"/>
        <w:bidi w:val="0"/>
        <w:spacing w:before="240" w:beforeAutospacing="off" w:after="0" w:afterAutospacing="off" w:line="259" w:lineRule="auto"/>
        <w:ind w:left="0" w:right="0"/>
        <w:jc w:val="both"/>
      </w:pPr>
      <w:r w:rsidRPr="4A7CC396" w:rsidR="4853E874">
        <w:rPr>
          <w:rFonts w:ascii="Aptos" w:hAnsi="Aptos" w:eastAsia="Aptos" w:cs="Aptos"/>
          <w:noProof w:val="0"/>
          <w:color w:val="000000" w:themeColor="text1" w:themeTint="FF" w:themeShade="FF"/>
          <w:sz w:val="20"/>
          <w:szCs w:val="20"/>
          <w:lang w:val="en"/>
        </w:rPr>
        <w:t xml:space="preserve">Table </w:t>
      </w:r>
      <w:r w:rsidRPr="4A7CC396" w:rsidR="26C675D7">
        <w:rPr>
          <w:rFonts w:ascii="Aptos" w:hAnsi="Aptos" w:eastAsia="Aptos" w:cs="Aptos"/>
          <w:noProof w:val="0"/>
          <w:color w:val="000000" w:themeColor="text1" w:themeTint="FF" w:themeShade="FF"/>
          <w:sz w:val="20"/>
          <w:szCs w:val="20"/>
          <w:lang w:val="en"/>
        </w:rPr>
        <w:t>6</w:t>
      </w:r>
      <w:r w:rsidRPr="4A7CC396" w:rsidR="4853E874">
        <w:rPr>
          <w:rFonts w:ascii="Aptos" w:hAnsi="Aptos" w:eastAsia="Aptos" w:cs="Aptos"/>
          <w:noProof w:val="0"/>
          <w:color w:val="000000" w:themeColor="text1" w:themeTint="FF" w:themeShade="FF"/>
          <w:sz w:val="20"/>
          <w:szCs w:val="20"/>
          <w:lang w:val="en"/>
        </w:rPr>
        <w:t>. Comparison of Organizational Context Across AI Models</w:t>
      </w:r>
    </w:p>
    <w:tbl>
      <w:tblPr>
        <w:tblStyle w:val="TableGrid"/>
        <w:bidiVisual w:val="0"/>
        <w:tblW w:w="0" w:type="auto"/>
        <w:tblLook w:val="06A0" w:firstRow="1" w:lastRow="0" w:firstColumn="1" w:lastColumn="0" w:noHBand="1" w:noVBand="1"/>
      </w:tblPr>
      <w:tblGrid>
        <w:gridCol w:w="600"/>
        <w:gridCol w:w="765"/>
        <w:gridCol w:w="750"/>
        <w:gridCol w:w="735"/>
        <w:gridCol w:w="1815"/>
      </w:tblGrid>
      <w:tr w:rsidR="4A7CC396" w:rsidTr="4A7CC396" w14:paraId="2499F4B6">
        <w:trPr>
          <w:trHeight w:val="300"/>
        </w:trPr>
        <w:tc>
          <w:tcPr>
            <w:tcW w:w="600" w:type="dxa"/>
            <w:tcMar/>
          </w:tcPr>
          <w:p w:rsidR="4A7CC396" w:rsidP="4A7CC396" w:rsidRDefault="4A7CC396" w14:paraId="78D6BF7C" w14:textId="7FCDC340">
            <w:pPr>
              <w:bidi w:val="0"/>
              <w:spacing w:before="0" w:beforeAutospacing="off" w:after="0" w:afterAutospacing="off"/>
              <w:jc w:val="center"/>
            </w:pPr>
            <w:r w:rsidRPr="4A7CC396" w:rsidR="4A7CC396">
              <w:rPr>
                <w:b w:val="1"/>
                <w:bCs w:val="1"/>
              </w:rPr>
              <w:t>Framework</w:t>
            </w:r>
          </w:p>
        </w:tc>
        <w:tc>
          <w:tcPr>
            <w:tcW w:w="765" w:type="dxa"/>
            <w:tcMar/>
          </w:tcPr>
          <w:p w:rsidR="4A7CC396" w:rsidP="4A7CC396" w:rsidRDefault="4A7CC396" w14:paraId="2940427D" w14:textId="6FD4FF35">
            <w:pPr>
              <w:bidi w:val="0"/>
              <w:spacing w:before="0" w:beforeAutospacing="off" w:after="0" w:afterAutospacing="off"/>
              <w:jc w:val="center"/>
            </w:pPr>
            <w:r w:rsidRPr="4A7CC396" w:rsidR="4A7CC396">
              <w:rPr>
                <w:b w:val="1"/>
                <w:bCs w:val="1"/>
              </w:rPr>
              <w:t>Private Sector Mean</w:t>
            </w:r>
          </w:p>
        </w:tc>
        <w:tc>
          <w:tcPr>
            <w:tcW w:w="750" w:type="dxa"/>
            <w:tcMar/>
          </w:tcPr>
          <w:p w:rsidR="4A7CC396" w:rsidP="4A7CC396" w:rsidRDefault="4A7CC396" w14:paraId="6B1B2D83" w14:textId="3BBD1E29">
            <w:pPr>
              <w:bidi w:val="0"/>
              <w:spacing w:before="0" w:beforeAutospacing="off" w:after="0" w:afterAutospacing="off"/>
              <w:jc w:val="center"/>
            </w:pPr>
            <w:r w:rsidRPr="4A7CC396" w:rsidR="4A7CC396">
              <w:rPr>
                <w:b w:val="1"/>
                <w:bCs w:val="1"/>
              </w:rPr>
              <w:t>Public Sector Mean</w:t>
            </w:r>
          </w:p>
        </w:tc>
        <w:tc>
          <w:tcPr>
            <w:tcW w:w="735" w:type="dxa"/>
            <w:tcMar/>
          </w:tcPr>
          <w:p w:rsidR="4A7CC396" w:rsidP="4A7CC396" w:rsidRDefault="4A7CC396" w14:paraId="5088F308" w14:textId="4C1C5A8A">
            <w:pPr>
              <w:bidi w:val="0"/>
              <w:spacing w:before="0" w:beforeAutospacing="off" w:after="0" w:afterAutospacing="off"/>
              <w:jc w:val="center"/>
            </w:pPr>
            <w:r w:rsidRPr="4A7CC396" w:rsidR="4A7CC396">
              <w:rPr>
                <w:b w:val="1"/>
                <w:bCs w:val="1"/>
              </w:rPr>
              <w:t>Organizational Difference (Δ)</w:t>
            </w:r>
          </w:p>
        </w:tc>
        <w:tc>
          <w:tcPr>
            <w:tcW w:w="1815" w:type="dxa"/>
            <w:tcMar/>
          </w:tcPr>
          <w:p w:rsidR="4A7CC396" w:rsidP="4A7CC396" w:rsidRDefault="4A7CC396" w14:paraId="502AA921" w14:textId="60072FAE">
            <w:pPr>
              <w:bidi w:val="0"/>
              <w:spacing w:before="0" w:beforeAutospacing="off" w:after="0" w:afterAutospacing="off"/>
              <w:jc w:val="center"/>
            </w:pPr>
            <w:r w:rsidRPr="4A7CC396" w:rsidR="4A7CC396">
              <w:rPr>
                <w:b w:val="1"/>
                <w:bCs w:val="1"/>
              </w:rPr>
              <w:t>Key Findings</w:t>
            </w:r>
          </w:p>
        </w:tc>
      </w:tr>
      <w:tr w:rsidR="4A7CC396" w:rsidTr="4A7CC396" w14:paraId="5436901D">
        <w:trPr>
          <w:trHeight w:val="300"/>
        </w:trPr>
        <w:tc>
          <w:tcPr>
            <w:tcW w:w="600" w:type="dxa"/>
            <w:tcMar/>
          </w:tcPr>
          <w:p w:rsidR="4A7CC396" w:rsidP="4A7CC396" w:rsidRDefault="4A7CC396" w14:paraId="14CC7613" w14:textId="073F9739">
            <w:pPr>
              <w:bidi w:val="0"/>
              <w:spacing w:before="0" w:beforeAutospacing="off" w:after="0" w:afterAutospacing="off"/>
            </w:pPr>
            <w:r w:rsidR="4A7CC396">
              <w:rPr/>
              <w:t>NIST CSF</w:t>
            </w:r>
          </w:p>
        </w:tc>
        <w:tc>
          <w:tcPr>
            <w:tcW w:w="765" w:type="dxa"/>
            <w:tcMar/>
          </w:tcPr>
          <w:p w:rsidR="4A7CC396" w:rsidP="4A7CC396" w:rsidRDefault="4A7CC396" w14:paraId="23580BBB" w14:textId="3D7567D1">
            <w:pPr>
              <w:bidi w:val="0"/>
              <w:spacing w:before="0" w:beforeAutospacing="off" w:after="0" w:afterAutospacing="off"/>
            </w:pPr>
            <w:r w:rsidR="4A7CC396">
              <w:rPr/>
              <w:t>1.97</w:t>
            </w:r>
          </w:p>
        </w:tc>
        <w:tc>
          <w:tcPr>
            <w:tcW w:w="750" w:type="dxa"/>
            <w:tcMar/>
          </w:tcPr>
          <w:p w:rsidR="4A7CC396" w:rsidP="4A7CC396" w:rsidRDefault="4A7CC396" w14:paraId="66317E62" w14:textId="43ADBCF8">
            <w:pPr>
              <w:bidi w:val="0"/>
              <w:spacing w:before="0" w:beforeAutospacing="off" w:after="0" w:afterAutospacing="off"/>
            </w:pPr>
            <w:r w:rsidR="4A7CC396">
              <w:rPr/>
              <w:t>2.01</w:t>
            </w:r>
          </w:p>
        </w:tc>
        <w:tc>
          <w:tcPr>
            <w:tcW w:w="735" w:type="dxa"/>
            <w:tcMar/>
          </w:tcPr>
          <w:p w:rsidR="4A7CC396" w:rsidP="4A7CC396" w:rsidRDefault="4A7CC396" w14:paraId="439B6048" w14:textId="04B6E4C6">
            <w:pPr>
              <w:bidi w:val="0"/>
              <w:spacing w:before="0" w:beforeAutospacing="off" w:after="0" w:afterAutospacing="off"/>
            </w:pPr>
            <w:r w:rsidR="4A7CC396">
              <w:rPr/>
              <w:t>0.04</w:t>
            </w:r>
          </w:p>
        </w:tc>
        <w:tc>
          <w:tcPr>
            <w:tcW w:w="1815" w:type="dxa"/>
            <w:tcMar/>
          </w:tcPr>
          <w:p w:rsidR="4A7CC396" w:rsidP="4A7CC396" w:rsidRDefault="4A7CC396" w14:paraId="00F6C06C" w14:textId="694BAE74">
            <w:pPr>
              <w:bidi w:val="0"/>
              <w:spacing w:before="0" w:beforeAutospacing="off" w:after="0" w:afterAutospacing="off"/>
            </w:pPr>
            <w:r w:rsidRPr="4A7CC396" w:rsidR="4A7CC396">
              <w:rPr>
                <w:lang w:val="en-US"/>
              </w:rPr>
              <w:t>Organizational difference was minimal, indicating that all three models assigned nearly identical maturity levels to the public- and private-sector policy datasets.</w:t>
            </w:r>
          </w:p>
        </w:tc>
      </w:tr>
      <w:tr w:rsidR="4A7CC396" w:rsidTr="4A7CC396" w14:paraId="4BDAE960">
        <w:trPr>
          <w:trHeight w:val="300"/>
        </w:trPr>
        <w:tc>
          <w:tcPr>
            <w:tcW w:w="600" w:type="dxa"/>
            <w:tcMar/>
          </w:tcPr>
          <w:p w:rsidR="4A7CC396" w:rsidP="4A7CC396" w:rsidRDefault="4A7CC396" w14:paraId="38D71E5C" w14:textId="078176D6">
            <w:pPr>
              <w:bidi w:val="0"/>
              <w:spacing w:before="0" w:beforeAutospacing="off" w:after="0" w:afterAutospacing="off"/>
            </w:pPr>
            <w:r w:rsidR="4A7CC396">
              <w:rPr/>
              <w:t>NIST SP 800-53</w:t>
            </w:r>
          </w:p>
        </w:tc>
        <w:tc>
          <w:tcPr>
            <w:tcW w:w="765" w:type="dxa"/>
            <w:tcMar/>
          </w:tcPr>
          <w:p w:rsidR="4A7CC396" w:rsidP="4A7CC396" w:rsidRDefault="4A7CC396" w14:paraId="1AD2E5CA" w14:textId="6D71735A">
            <w:pPr>
              <w:bidi w:val="0"/>
              <w:spacing w:before="0" w:beforeAutospacing="off" w:after="0" w:afterAutospacing="off"/>
            </w:pPr>
            <w:r w:rsidR="4A7CC396">
              <w:rPr/>
              <w:t>1.93</w:t>
            </w:r>
          </w:p>
        </w:tc>
        <w:tc>
          <w:tcPr>
            <w:tcW w:w="750" w:type="dxa"/>
            <w:tcMar/>
          </w:tcPr>
          <w:p w:rsidR="4A7CC396" w:rsidP="4A7CC396" w:rsidRDefault="4A7CC396" w14:paraId="53284FD4" w14:textId="5B503E4B">
            <w:pPr>
              <w:bidi w:val="0"/>
              <w:spacing w:before="0" w:beforeAutospacing="off" w:after="0" w:afterAutospacing="off"/>
            </w:pPr>
            <w:r w:rsidR="4A7CC396">
              <w:rPr/>
              <w:t>2.13</w:t>
            </w:r>
          </w:p>
        </w:tc>
        <w:tc>
          <w:tcPr>
            <w:tcW w:w="735" w:type="dxa"/>
            <w:tcMar/>
          </w:tcPr>
          <w:p w:rsidR="4A7CC396" w:rsidP="4A7CC396" w:rsidRDefault="4A7CC396" w14:paraId="5CED828C" w14:textId="4F3A5B11">
            <w:pPr>
              <w:bidi w:val="0"/>
              <w:spacing w:before="0" w:beforeAutospacing="off" w:after="0" w:afterAutospacing="off"/>
            </w:pPr>
            <w:r w:rsidR="4A7CC396">
              <w:rPr/>
              <w:t>0.20</w:t>
            </w:r>
          </w:p>
        </w:tc>
        <w:tc>
          <w:tcPr>
            <w:tcW w:w="1815" w:type="dxa"/>
            <w:tcMar/>
          </w:tcPr>
          <w:p w:rsidR="4A7CC396" w:rsidP="4A7CC396" w:rsidRDefault="4A7CC396" w14:paraId="76ED02F1" w14:textId="687E998E">
            <w:pPr>
              <w:bidi w:val="0"/>
              <w:spacing w:before="0" w:beforeAutospacing="off" w:after="0" w:afterAutospacing="off"/>
            </w:pPr>
            <w:r w:rsidRPr="4A7CC396" w:rsidR="4A7CC396">
              <w:rPr>
                <w:lang w:val="en-US"/>
              </w:rPr>
              <w:t>NIST SP 800-53 exhibited the largest organizational difference, with the public-sector organization receiving a higher average maturity score, suggesting that the government policy documentation provided broader coverage of the governance, risk management, and security control requirements emphasized by the framework.</w:t>
            </w:r>
          </w:p>
        </w:tc>
      </w:tr>
      <w:tr w:rsidR="4A7CC396" w:rsidTr="4A7CC396" w14:paraId="5B9C6B41">
        <w:trPr>
          <w:trHeight w:val="300"/>
        </w:trPr>
        <w:tc>
          <w:tcPr>
            <w:tcW w:w="600" w:type="dxa"/>
            <w:tcMar/>
          </w:tcPr>
          <w:p w:rsidR="4A7CC396" w:rsidP="4A7CC396" w:rsidRDefault="4A7CC396" w14:paraId="74F4818C" w14:textId="3947A4BD">
            <w:pPr>
              <w:bidi w:val="0"/>
              <w:spacing w:before="0" w:beforeAutospacing="off" w:after="0" w:afterAutospacing="off"/>
            </w:pPr>
            <w:r w:rsidR="4A7CC396">
              <w:rPr/>
              <w:t>ISO/IEC 27001</w:t>
            </w:r>
          </w:p>
        </w:tc>
        <w:tc>
          <w:tcPr>
            <w:tcW w:w="765" w:type="dxa"/>
            <w:tcMar/>
          </w:tcPr>
          <w:p w:rsidR="4A7CC396" w:rsidP="4A7CC396" w:rsidRDefault="4A7CC396" w14:paraId="5F064158" w14:textId="7AC84805">
            <w:pPr>
              <w:bidi w:val="0"/>
              <w:spacing w:before="0" w:beforeAutospacing="off" w:after="0" w:afterAutospacing="off"/>
            </w:pPr>
            <w:r w:rsidR="4A7CC396">
              <w:rPr/>
              <w:t>2.31</w:t>
            </w:r>
          </w:p>
        </w:tc>
        <w:tc>
          <w:tcPr>
            <w:tcW w:w="750" w:type="dxa"/>
            <w:tcMar/>
          </w:tcPr>
          <w:p w:rsidR="4A7CC396" w:rsidP="4A7CC396" w:rsidRDefault="4A7CC396" w14:paraId="21304380" w14:textId="6687A2C3">
            <w:pPr>
              <w:bidi w:val="0"/>
              <w:spacing w:before="0" w:beforeAutospacing="off" w:after="0" w:afterAutospacing="off"/>
            </w:pPr>
            <w:r w:rsidR="4A7CC396">
              <w:rPr/>
              <w:t>2.31</w:t>
            </w:r>
          </w:p>
        </w:tc>
        <w:tc>
          <w:tcPr>
            <w:tcW w:w="735" w:type="dxa"/>
            <w:tcMar/>
          </w:tcPr>
          <w:p w:rsidR="4A7CC396" w:rsidP="4A7CC396" w:rsidRDefault="4A7CC396" w14:paraId="5529BC98" w14:textId="50E8FC7C">
            <w:pPr>
              <w:bidi w:val="0"/>
              <w:spacing w:before="0" w:beforeAutospacing="off" w:after="0" w:afterAutospacing="off"/>
            </w:pPr>
            <w:r w:rsidR="4A7CC396">
              <w:rPr/>
              <w:t>0.00</w:t>
            </w:r>
          </w:p>
        </w:tc>
        <w:tc>
          <w:tcPr>
            <w:tcW w:w="1815" w:type="dxa"/>
            <w:tcMar/>
          </w:tcPr>
          <w:p w:rsidR="4A7CC396" w:rsidP="4A7CC396" w:rsidRDefault="4A7CC396" w14:paraId="3264D76C" w14:textId="5B239F59">
            <w:pPr>
              <w:bidi w:val="0"/>
              <w:spacing w:before="0" w:beforeAutospacing="off" w:after="0" w:afterAutospacing="off"/>
            </w:pPr>
            <w:r w:rsidRPr="4A7CC396" w:rsidR="4A7CC396">
              <w:rPr>
                <w:lang w:val="en-US"/>
              </w:rPr>
              <w:t>No organizational difference was observed, indicating identical average maturity assessments across both sectors.</w:t>
            </w:r>
          </w:p>
        </w:tc>
      </w:tr>
      <w:tr w:rsidR="4A7CC396" w:rsidTr="4A7CC396" w14:paraId="7F8654A7">
        <w:trPr>
          <w:trHeight w:val="300"/>
        </w:trPr>
        <w:tc>
          <w:tcPr>
            <w:tcW w:w="600" w:type="dxa"/>
            <w:tcMar/>
          </w:tcPr>
          <w:p w:rsidR="4A7CC396" w:rsidP="4A7CC396" w:rsidRDefault="4A7CC396" w14:paraId="4EAA7AA7" w14:textId="3712EBC0">
            <w:pPr>
              <w:bidi w:val="0"/>
              <w:spacing w:before="0" w:beforeAutospacing="off" w:after="0" w:afterAutospacing="off"/>
            </w:pPr>
            <w:r w:rsidR="4A7CC396">
              <w:rPr/>
              <w:t>CIS CSC</w:t>
            </w:r>
          </w:p>
        </w:tc>
        <w:tc>
          <w:tcPr>
            <w:tcW w:w="765" w:type="dxa"/>
            <w:tcMar/>
          </w:tcPr>
          <w:p w:rsidR="4A7CC396" w:rsidP="4A7CC396" w:rsidRDefault="4A7CC396" w14:paraId="79127209" w14:textId="683EE592">
            <w:pPr>
              <w:bidi w:val="0"/>
              <w:spacing w:before="0" w:beforeAutospacing="off" w:after="0" w:afterAutospacing="off"/>
            </w:pPr>
            <w:r w:rsidR="4A7CC396">
              <w:rPr/>
              <w:t>2.11</w:t>
            </w:r>
          </w:p>
        </w:tc>
        <w:tc>
          <w:tcPr>
            <w:tcW w:w="750" w:type="dxa"/>
            <w:tcMar/>
          </w:tcPr>
          <w:p w:rsidR="4A7CC396" w:rsidP="4A7CC396" w:rsidRDefault="4A7CC396" w14:paraId="657DE169" w14:textId="222163C7">
            <w:pPr>
              <w:bidi w:val="0"/>
              <w:spacing w:before="0" w:beforeAutospacing="off" w:after="0" w:afterAutospacing="off"/>
            </w:pPr>
            <w:r w:rsidR="4A7CC396">
              <w:rPr/>
              <w:t>2.05</w:t>
            </w:r>
          </w:p>
        </w:tc>
        <w:tc>
          <w:tcPr>
            <w:tcW w:w="735" w:type="dxa"/>
            <w:tcMar/>
          </w:tcPr>
          <w:p w:rsidR="4A7CC396" w:rsidP="4A7CC396" w:rsidRDefault="4A7CC396" w14:paraId="3C7A8979" w14:textId="241E410D">
            <w:pPr>
              <w:bidi w:val="0"/>
              <w:spacing w:before="0" w:beforeAutospacing="off" w:after="0" w:afterAutospacing="off"/>
            </w:pPr>
            <w:r w:rsidR="4A7CC396">
              <w:rPr/>
              <w:t>0.06</w:t>
            </w:r>
          </w:p>
        </w:tc>
        <w:tc>
          <w:tcPr>
            <w:tcW w:w="1815" w:type="dxa"/>
            <w:tcMar/>
          </w:tcPr>
          <w:p w:rsidR="4A7CC396" w:rsidP="4A7CC396" w:rsidRDefault="4A7CC396" w14:paraId="62745A77" w14:textId="3FA4001A">
            <w:pPr>
              <w:bidi w:val="0"/>
              <w:spacing w:before="0" w:beforeAutospacing="off" w:after="0" w:afterAutospacing="off"/>
            </w:pPr>
            <w:r w:rsidRPr="4A7CC396" w:rsidR="4A7CC396">
              <w:rPr>
                <w:lang w:val="en-US"/>
              </w:rPr>
              <w:t>Organizational difference remained low, indicating that both organizations demonstrated comparable maturity in implementing critical security controls despite differences in policy structure and organizational context.</w:t>
            </w:r>
          </w:p>
        </w:tc>
      </w:tr>
      <w:tr w:rsidR="4A7CC396" w:rsidTr="4A7CC396" w14:paraId="43A320D2">
        <w:trPr>
          <w:trHeight w:val="300"/>
        </w:trPr>
        <w:tc>
          <w:tcPr>
            <w:tcW w:w="600" w:type="dxa"/>
            <w:tcMar/>
          </w:tcPr>
          <w:p w:rsidR="4A7CC396" w:rsidP="4A7CC396" w:rsidRDefault="4A7CC396" w14:paraId="66B67F49" w14:textId="1146E677">
            <w:pPr>
              <w:bidi w:val="0"/>
              <w:spacing w:before="0" w:beforeAutospacing="off" w:after="0" w:afterAutospacing="off"/>
            </w:pPr>
            <w:r w:rsidR="4A7CC396">
              <w:rPr/>
              <w:t>CMMC</w:t>
            </w:r>
          </w:p>
        </w:tc>
        <w:tc>
          <w:tcPr>
            <w:tcW w:w="765" w:type="dxa"/>
            <w:tcMar/>
          </w:tcPr>
          <w:p w:rsidR="4A7CC396" w:rsidP="4A7CC396" w:rsidRDefault="4A7CC396" w14:paraId="6A670F71" w14:textId="563F706E">
            <w:pPr>
              <w:bidi w:val="0"/>
              <w:spacing w:before="0" w:beforeAutospacing="off" w:after="0" w:afterAutospacing="off"/>
            </w:pPr>
            <w:r w:rsidR="4A7CC396">
              <w:rPr/>
              <w:t>2.02</w:t>
            </w:r>
          </w:p>
        </w:tc>
        <w:tc>
          <w:tcPr>
            <w:tcW w:w="750" w:type="dxa"/>
            <w:tcMar/>
          </w:tcPr>
          <w:p w:rsidR="4A7CC396" w:rsidP="4A7CC396" w:rsidRDefault="4A7CC396" w14:paraId="4E812AD6" w14:textId="632964B7">
            <w:pPr>
              <w:bidi w:val="0"/>
              <w:spacing w:before="0" w:beforeAutospacing="off" w:after="0" w:afterAutospacing="off"/>
            </w:pPr>
            <w:r w:rsidR="4A7CC396">
              <w:rPr/>
              <w:t>2.07</w:t>
            </w:r>
          </w:p>
        </w:tc>
        <w:tc>
          <w:tcPr>
            <w:tcW w:w="735" w:type="dxa"/>
            <w:tcMar/>
          </w:tcPr>
          <w:p w:rsidR="4A7CC396" w:rsidP="4A7CC396" w:rsidRDefault="4A7CC396" w14:paraId="3BACB624" w14:textId="4125910F">
            <w:pPr>
              <w:bidi w:val="0"/>
              <w:spacing w:before="0" w:beforeAutospacing="off" w:after="0" w:afterAutospacing="off"/>
            </w:pPr>
            <w:r w:rsidR="4A7CC396">
              <w:rPr/>
              <w:t>0.05</w:t>
            </w:r>
          </w:p>
        </w:tc>
        <w:tc>
          <w:tcPr>
            <w:tcW w:w="1815" w:type="dxa"/>
            <w:tcMar/>
          </w:tcPr>
          <w:p w:rsidR="4A7CC396" w:rsidP="4A7CC396" w:rsidRDefault="4A7CC396" w14:paraId="7F06C3E6" w14:textId="5E2686C7">
            <w:pPr>
              <w:bidi w:val="0"/>
              <w:spacing w:before="0" w:beforeAutospacing="off" w:after="0" w:afterAutospacing="off"/>
            </w:pPr>
            <w:r w:rsidRPr="4A7CC396" w:rsidR="4A7CC396">
              <w:rPr>
                <w:lang w:val="en-US"/>
              </w:rPr>
              <w:t>Organizational difference was minimal, suggesting that both policy datasets reflected similar maturity.</w:t>
            </w:r>
          </w:p>
        </w:tc>
      </w:tr>
      <w:tr w:rsidR="4A7CC396" w:rsidTr="4A7CC396" w14:paraId="106E1C2D">
        <w:trPr>
          <w:trHeight w:val="300"/>
        </w:trPr>
        <w:tc>
          <w:tcPr>
            <w:tcW w:w="600" w:type="dxa"/>
            <w:tcMar/>
          </w:tcPr>
          <w:p w:rsidR="4A7CC396" w:rsidP="4A7CC396" w:rsidRDefault="4A7CC396" w14:paraId="193BC847" w14:textId="36C3FAB8">
            <w:pPr>
              <w:bidi w:val="0"/>
              <w:spacing w:before="0" w:beforeAutospacing="off" w:after="0" w:afterAutospacing="off"/>
            </w:pPr>
            <w:r w:rsidR="4A7CC396">
              <w:rPr/>
              <w:t>HIPAA</w:t>
            </w:r>
          </w:p>
        </w:tc>
        <w:tc>
          <w:tcPr>
            <w:tcW w:w="765" w:type="dxa"/>
            <w:tcMar/>
          </w:tcPr>
          <w:p w:rsidR="4A7CC396" w:rsidP="4A7CC396" w:rsidRDefault="4A7CC396" w14:paraId="300E7A27" w14:textId="07013399">
            <w:pPr>
              <w:bidi w:val="0"/>
              <w:spacing w:before="0" w:beforeAutospacing="off" w:after="0" w:afterAutospacing="off"/>
            </w:pPr>
            <w:r w:rsidR="4A7CC396">
              <w:rPr/>
              <w:t>2.28</w:t>
            </w:r>
          </w:p>
        </w:tc>
        <w:tc>
          <w:tcPr>
            <w:tcW w:w="750" w:type="dxa"/>
            <w:tcMar/>
          </w:tcPr>
          <w:p w:rsidR="4A7CC396" w:rsidP="4A7CC396" w:rsidRDefault="4A7CC396" w14:paraId="3B2DBDC5" w14:textId="04F273BB">
            <w:pPr>
              <w:bidi w:val="0"/>
              <w:spacing w:before="0" w:beforeAutospacing="off" w:after="0" w:afterAutospacing="off"/>
            </w:pPr>
            <w:r w:rsidR="4A7CC396">
              <w:rPr/>
              <w:t>2.11</w:t>
            </w:r>
          </w:p>
        </w:tc>
        <w:tc>
          <w:tcPr>
            <w:tcW w:w="735" w:type="dxa"/>
            <w:tcMar/>
          </w:tcPr>
          <w:p w:rsidR="4A7CC396" w:rsidP="4A7CC396" w:rsidRDefault="4A7CC396" w14:paraId="5B7A8F1D" w14:textId="5896A74F">
            <w:pPr>
              <w:bidi w:val="0"/>
              <w:spacing w:before="0" w:beforeAutospacing="off" w:after="0" w:afterAutospacing="off"/>
            </w:pPr>
            <w:r w:rsidR="4A7CC396">
              <w:rPr/>
              <w:t>0.17</w:t>
            </w:r>
          </w:p>
        </w:tc>
        <w:tc>
          <w:tcPr>
            <w:tcW w:w="1815" w:type="dxa"/>
            <w:tcMar/>
          </w:tcPr>
          <w:p w:rsidR="4A7CC396" w:rsidP="4A7CC396" w:rsidRDefault="4A7CC396" w14:paraId="39EA6EFE" w14:textId="1CD9E668">
            <w:pPr>
              <w:bidi w:val="0"/>
              <w:spacing w:before="0" w:beforeAutospacing="off" w:after="0" w:afterAutospacing="off"/>
            </w:pPr>
            <w:r w:rsidRPr="4A7CC396" w:rsidR="4A7CC396">
              <w:rPr>
                <w:lang w:val="en-US"/>
              </w:rPr>
              <w:t>HIPAA exhibited one of the largest organizational differences, suggesting that implementation of healthcare-related security controls varied more substantially between the two organizations.</w:t>
            </w:r>
          </w:p>
        </w:tc>
      </w:tr>
      <w:tr w:rsidR="4A7CC396" w:rsidTr="4A7CC396" w14:paraId="70281CD3">
        <w:trPr>
          <w:trHeight w:val="300"/>
        </w:trPr>
        <w:tc>
          <w:tcPr>
            <w:tcW w:w="600" w:type="dxa"/>
            <w:tcMar/>
          </w:tcPr>
          <w:p w:rsidR="4A7CC396" w:rsidP="4A7CC396" w:rsidRDefault="4A7CC396" w14:paraId="4659E48A" w14:textId="4608E0A0">
            <w:pPr>
              <w:bidi w:val="0"/>
              <w:spacing w:before="0" w:beforeAutospacing="off" w:after="0" w:afterAutospacing="off"/>
            </w:pPr>
            <w:r w:rsidR="4A7CC396">
              <w:rPr/>
              <w:t>PCI DSS</w:t>
            </w:r>
          </w:p>
        </w:tc>
        <w:tc>
          <w:tcPr>
            <w:tcW w:w="765" w:type="dxa"/>
            <w:tcMar/>
          </w:tcPr>
          <w:p w:rsidR="4A7CC396" w:rsidP="4A7CC396" w:rsidRDefault="4A7CC396" w14:paraId="387852A3" w14:textId="669A5881">
            <w:pPr>
              <w:bidi w:val="0"/>
              <w:spacing w:before="0" w:beforeAutospacing="off" w:after="0" w:afterAutospacing="off"/>
            </w:pPr>
            <w:r w:rsidR="4A7CC396">
              <w:rPr/>
              <w:t>1.86</w:t>
            </w:r>
          </w:p>
        </w:tc>
        <w:tc>
          <w:tcPr>
            <w:tcW w:w="750" w:type="dxa"/>
            <w:tcMar/>
          </w:tcPr>
          <w:p w:rsidR="4A7CC396" w:rsidP="4A7CC396" w:rsidRDefault="4A7CC396" w14:paraId="1088F15E" w14:textId="1FC348EA">
            <w:pPr>
              <w:bidi w:val="0"/>
              <w:spacing w:before="0" w:beforeAutospacing="off" w:after="0" w:afterAutospacing="off"/>
            </w:pPr>
            <w:r w:rsidR="4A7CC396">
              <w:rPr/>
              <w:t>1.93</w:t>
            </w:r>
          </w:p>
        </w:tc>
        <w:tc>
          <w:tcPr>
            <w:tcW w:w="735" w:type="dxa"/>
            <w:tcMar/>
          </w:tcPr>
          <w:p w:rsidR="4A7CC396" w:rsidP="4A7CC396" w:rsidRDefault="4A7CC396" w14:paraId="09E7C5E1" w14:textId="0D58EA6D">
            <w:pPr>
              <w:bidi w:val="0"/>
              <w:spacing w:before="0" w:beforeAutospacing="off" w:after="0" w:afterAutospacing="off"/>
            </w:pPr>
            <w:r w:rsidR="4A7CC396">
              <w:rPr/>
              <w:t>0.07</w:t>
            </w:r>
          </w:p>
        </w:tc>
        <w:tc>
          <w:tcPr>
            <w:tcW w:w="1815" w:type="dxa"/>
            <w:tcMar/>
          </w:tcPr>
          <w:p w:rsidR="4A7CC396" w:rsidP="4A7CC396" w:rsidRDefault="4A7CC396" w14:paraId="27D13CEF" w14:textId="37655B3B">
            <w:pPr>
              <w:bidi w:val="0"/>
              <w:spacing w:before="0" w:beforeAutospacing="off" w:after="0" w:afterAutospacing="off"/>
            </w:pPr>
            <w:r w:rsidRPr="4A7CC396" w:rsidR="4A7CC396">
              <w:rPr>
                <w:lang w:val="en-US"/>
              </w:rPr>
              <w:t>The public-sector organization achieved a slightly higher mean maturity score; however, the small organizational difference indicates that both organizations demonstrated comparable implementation of payment card security controls.</w:t>
            </w:r>
          </w:p>
        </w:tc>
      </w:tr>
      <w:tr w:rsidR="4A7CC396" w:rsidTr="4A7CC396" w14:paraId="4A2E4EAC">
        <w:trPr>
          <w:trHeight w:val="300"/>
        </w:trPr>
        <w:tc>
          <w:tcPr>
            <w:tcW w:w="600" w:type="dxa"/>
            <w:tcMar/>
          </w:tcPr>
          <w:p w:rsidR="4A7CC396" w:rsidP="4A7CC396" w:rsidRDefault="4A7CC396" w14:paraId="637E4994" w14:textId="3FF0B48E">
            <w:pPr>
              <w:bidi w:val="0"/>
              <w:spacing w:before="0" w:beforeAutospacing="off" w:after="0" w:afterAutospacing="off"/>
            </w:pPr>
            <w:r w:rsidR="4A7CC396">
              <w:rPr/>
              <w:t>CSA CCM</w:t>
            </w:r>
          </w:p>
        </w:tc>
        <w:tc>
          <w:tcPr>
            <w:tcW w:w="765" w:type="dxa"/>
            <w:tcMar/>
          </w:tcPr>
          <w:p w:rsidR="4A7CC396" w:rsidP="4A7CC396" w:rsidRDefault="4A7CC396" w14:paraId="56FE199C" w14:textId="373C93F7">
            <w:pPr>
              <w:bidi w:val="0"/>
              <w:spacing w:before="0" w:beforeAutospacing="off" w:after="0" w:afterAutospacing="off"/>
            </w:pPr>
            <w:r w:rsidR="4A7CC396">
              <w:rPr/>
              <w:t>1.94</w:t>
            </w:r>
          </w:p>
        </w:tc>
        <w:tc>
          <w:tcPr>
            <w:tcW w:w="750" w:type="dxa"/>
            <w:tcMar/>
          </w:tcPr>
          <w:p w:rsidR="4A7CC396" w:rsidP="4A7CC396" w:rsidRDefault="4A7CC396" w14:paraId="2ACC8C48" w14:textId="41C102CE">
            <w:pPr>
              <w:bidi w:val="0"/>
              <w:spacing w:before="0" w:beforeAutospacing="off" w:after="0" w:afterAutospacing="off"/>
            </w:pPr>
            <w:r w:rsidR="4A7CC396">
              <w:rPr/>
              <w:t>1.88</w:t>
            </w:r>
          </w:p>
        </w:tc>
        <w:tc>
          <w:tcPr>
            <w:tcW w:w="735" w:type="dxa"/>
            <w:tcMar/>
          </w:tcPr>
          <w:p w:rsidR="4A7CC396" w:rsidP="4A7CC396" w:rsidRDefault="4A7CC396" w14:paraId="4DB2A6F9" w14:textId="5AFDB397">
            <w:pPr>
              <w:bidi w:val="0"/>
              <w:spacing w:before="0" w:beforeAutospacing="off" w:after="0" w:afterAutospacing="off"/>
            </w:pPr>
            <w:r w:rsidR="4A7CC396">
              <w:rPr/>
              <w:t>0.05</w:t>
            </w:r>
          </w:p>
        </w:tc>
        <w:tc>
          <w:tcPr>
            <w:tcW w:w="1815" w:type="dxa"/>
            <w:tcMar/>
          </w:tcPr>
          <w:p w:rsidR="4A7CC396" w:rsidP="4A7CC396" w:rsidRDefault="4A7CC396" w14:paraId="45F9823B" w14:textId="25146942">
            <w:pPr>
              <w:bidi w:val="0"/>
              <w:spacing w:before="0" w:beforeAutospacing="off" w:after="0" w:afterAutospacing="off"/>
            </w:pPr>
            <w:r w:rsidRPr="4A7CC396" w:rsidR="4A7CC396">
              <w:rPr>
                <w:lang w:val="en-US"/>
              </w:rPr>
              <w:t>Organizational difference was minimal, indicating consistent cloud security maturity assessments across both organizations despite differences in organizational context and policy documentation.</w:t>
            </w:r>
          </w:p>
        </w:tc>
      </w:tr>
      <w:tr w:rsidR="4A7CC396" w:rsidTr="4A7CC396" w14:paraId="7C090CA1">
        <w:trPr>
          <w:trHeight w:val="300"/>
        </w:trPr>
        <w:tc>
          <w:tcPr>
            <w:tcW w:w="600" w:type="dxa"/>
            <w:tcMar/>
          </w:tcPr>
          <w:p w:rsidR="4A7CC396" w:rsidP="4A7CC396" w:rsidRDefault="4A7CC396" w14:paraId="77F1B365" w14:textId="4D6B1A59">
            <w:pPr>
              <w:bidi w:val="0"/>
              <w:spacing w:before="0" w:beforeAutospacing="off" w:after="0" w:afterAutospacing="off"/>
            </w:pPr>
            <w:r w:rsidR="4A7CC396">
              <w:rPr/>
              <w:t>FTC Safeguards</w:t>
            </w:r>
          </w:p>
        </w:tc>
        <w:tc>
          <w:tcPr>
            <w:tcW w:w="765" w:type="dxa"/>
            <w:tcMar/>
          </w:tcPr>
          <w:p w:rsidR="4A7CC396" w:rsidP="4A7CC396" w:rsidRDefault="4A7CC396" w14:paraId="7E123FFD" w14:textId="4ECDEEAA">
            <w:pPr>
              <w:bidi w:val="0"/>
              <w:spacing w:before="0" w:beforeAutospacing="off" w:after="0" w:afterAutospacing="off"/>
            </w:pPr>
            <w:r w:rsidR="4A7CC396">
              <w:rPr/>
              <w:t>2.39</w:t>
            </w:r>
          </w:p>
        </w:tc>
        <w:tc>
          <w:tcPr>
            <w:tcW w:w="750" w:type="dxa"/>
            <w:tcMar/>
          </w:tcPr>
          <w:p w:rsidR="4A7CC396" w:rsidP="4A7CC396" w:rsidRDefault="4A7CC396" w14:paraId="2F5B8B1F" w14:textId="01E154AE">
            <w:pPr>
              <w:bidi w:val="0"/>
              <w:spacing w:before="0" w:beforeAutospacing="off" w:after="0" w:afterAutospacing="off"/>
            </w:pPr>
            <w:r w:rsidR="4A7CC396">
              <w:rPr/>
              <w:t>2.47</w:t>
            </w:r>
          </w:p>
        </w:tc>
        <w:tc>
          <w:tcPr>
            <w:tcW w:w="735" w:type="dxa"/>
            <w:tcMar/>
          </w:tcPr>
          <w:p w:rsidR="4A7CC396" w:rsidP="4A7CC396" w:rsidRDefault="4A7CC396" w14:paraId="134AE5CB" w14:textId="150C4242">
            <w:pPr>
              <w:bidi w:val="0"/>
              <w:spacing w:before="0" w:beforeAutospacing="off" w:after="0" w:afterAutospacing="off"/>
            </w:pPr>
            <w:r w:rsidR="4A7CC396">
              <w:rPr/>
              <w:t>0.08</w:t>
            </w:r>
          </w:p>
        </w:tc>
        <w:tc>
          <w:tcPr>
            <w:tcW w:w="1815" w:type="dxa"/>
            <w:tcMar/>
          </w:tcPr>
          <w:p w:rsidR="4A7CC396" w:rsidP="4A7CC396" w:rsidRDefault="4A7CC396" w14:paraId="12FDE7A0" w14:textId="2AA0F5CB">
            <w:pPr>
              <w:bidi w:val="0"/>
              <w:spacing w:before="0" w:beforeAutospacing="off" w:after="0" w:afterAutospacing="off"/>
            </w:pPr>
            <w:r w:rsidRPr="4A7CC396" w:rsidR="4A7CC396">
              <w:rPr>
                <w:lang w:val="en-US"/>
              </w:rPr>
              <w:t>The public-sector organization received a slightly higher mean maturity score, although the relatively small organizational difference suggests that both organizations demonstrated comparable governance and administrative security practices.</w:t>
            </w:r>
          </w:p>
        </w:tc>
      </w:tr>
      <w:tr w:rsidR="4A7CC396" w:rsidTr="4A7CC396" w14:paraId="18569880">
        <w:trPr>
          <w:trHeight w:val="300"/>
        </w:trPr>
        <w:tc>
          <w:tcPr>
            <w:tcW w:w="600" w:type="dxa"/>
            <w:tcMar/>
          </w:tcPr>
          <w:p w:rsidR="4A7CC396" w:rsidP="4A7CC396" w:rsidRDefault="4A7CC396" w14:paraId="672CE665" w14:textId="2344F7BA">
            <w:pPr>
              <w:bidi w:val="0"/>
              <w:spacing w:before="0" w:beforeAutospacing="off" w:after="0" w:afterAutospacing="off"/>
            </w:pPr>
            <w:r w:rsidR="4A7CC396">
              <w:rPr/>
              <w:t>Framework Average</w:t>
            </w:r>
          </w:p>
        </w:tc>
        <w:tc>
          <w:tcPr>
            <w:tcW w:w="765" w:type="dxa"/>
            <w:tcMar/>
          </w:tcPr>
          <w:p w:rsidR="4A7CC396" w:rsidP="4A7CC396" w:rsidRDefault="4A7CC396" w14:paraId="7D0B55C0" w14:textId="35FB2BED">
            <w:pPr>
              <w:bidi w:val="0"/>
              <w:spacing w:before="0" w:beforeAutospacing="off" w:after="0" w:afterAutospacing="off"/>
            </w:pPr>
            <w:r w:rsidR="4A7CC396">
              <w:rPr/>
              <w:t>2.09</w:t>
            </w:r>
          </w:p>
        </w:tc>
        <w:tc>
          <w:tcPr>
            <w:tcW w:w="750" w:type="dxa"/>
            <w:tcMar/>
          </w:tcPr>
          <w:p w:rsidR="4A7CC396" w:rsidP="4A7CC396" w:rsidRDefault="4A7CC396" w14:paraId="1444971C" w14:textId="012C4BF5">
            <w:pPr>
              <w:bidi w:val="0"/>
              <w:spacing w:before="0" w:beforeAutospacing="off" w:after="0" w:afterAutospacing="off"/>
            </w:pPr>
            <w:r w:rsidR="4A7CC396">
              <w:rPr/>
              <w:t>2.11</w:t>
            </w:r>
          </w:p>
        </w:tc>
        <w:tc>
          <w:tcPr>
            <w:tcW w:w="735" w:type="dxa"/>
            <w:tcMar/>
          </w:tcPr>
          <w:p w:rsidR="4A7CC396" w:rsidP="4A7CC396" w:rsidRDefault="4A7CC396" w14:paraId="3C5F3F21" w14:textId="51C9CEDD">
            <w:pPr>
              <w:bidi w:val="0"/>
              <w:spacing w:before="0" w:beforeAutospacing="off" w:after="0" w:afterAutospacing="off"/>
            </w:pPr>
            <w:r w:rsidR="4A7CC396">
              <w:rPr/>
              <w:t>0.02</w:t>
            </w:r>
          </w:p>
        </w:tc>
        <w:tc>
          <w:tcPr>
            <w:tcW w:w="1815" w:type="dxa"/>
            <w:tcMar/>
          </w:tcPr>
          <w:p w:rsidR="4A7CC396" w:rsidP="4A7CC396" w:rsidRDefault="4A7CC396" w14:paraId="24D7BE3D" w14:textId="427CECF1">
            <w:pPr>
              <w:bidi w:val="0"/>
              <w:spacing w:before="0" w:beforeAutospacing="off" w:after="0" w:afterAutospacing="off"/>
            </w:pPr>
            <w:r w:rsidRPr="4A7CC396" w:rsidR="4A7CC396">
              <w:rPr>
                <w:lang w:val="en-US"/>
              </w:rPr>
              <w:t>The overall organizational difference across all evaluated frameworks was minimal, indicating that the public- and private-sector organizations achieved highly comparable average cybersecurity maturity scores despite differences in policy focus and documentation style.</w:t>
            </w:r>
          </w:p>
        </w:tc>
      </w:tr>
    </w:tbl>
    <w:p w:rsidR="61F9B131" w:rsidP="4A7CC396" w:rsidRDefault="61F9B131" w14:paraId="629BB866" w14:textId="6AF485D9">
      <w:pPr>
        <w:keepNext w:val="1"/>
        <w:keepLines w:val="1"/>
        <w:bidi w:val="0"/>
        <w:spacing w:before="240" w:beforeAutospacing="off" w:after="0" w:afterAutospacing="off"/>
        <w:jc w:val="both"/>
        <w:rPr>
          <w:rFonts w:ascii="Aptos" w:hAnsi="Aptos" w:eastAsia="Aptos" w:cs="Aptos"/>
          <w:noProof w:val="0"/>
          <w:color w:val="000000" w:themeColor="text1" w:themeTint="FF" w:themeShade="FF"/>
          <w:lang w:val="en-US"/>
        </w:rPr>
      </w:pPr>
      <w:r w:rsidRPr="4A7CC396" w:rsidR="1A5162E2">
        <w:rPr>
          <w:rFonts w:ascii="Aptos" w:hAnsi="Aptos" w:eastAsia="Aptos" w:cs="Aptos"/>
          <w:noProof w:val="0"/>
          <w:color w:val="000000" w:themeColor="text1" w:themeTint="FF" w:themeShade="FF"/>
          <w:lang w:val="en-US"/>
        </w:rPr>
        <w:t>Across all evaluated frameworks, both organizations demonstrated highly comparable maturity assessments, with an overall Organizational Difference of only Δ = 0.02. NIST SP 800-53 (Δ = 0.20) and HIPAA (Δ = 0.17) exhibited the largest organizational differences, while ISO/IEC 27001 produced identical average maturity scores across both organizations (Δ = 0.00). This pattern reflects genuine differences in organizational context: the Department of Education operates within a regulatory and compliance-driven environment in which policies emphasize governance, accountability, and standardized security management to satisfy statutory and federal requirements, whereas the Scott and Scott WISP is driven primarily by organizational risk management and client requirements, with policies emphasizing operational safeguards, business continuity, and practical implementation over regulatory compliance framing.</w:t>
      </w:r>
    </w:p>
    <w:p w:rsidR="61F9B131" w:rsidP="4A7CC396" w:rsidRDefault="61F9B131" w14:paraId="5B41BE9B" w14:textId="47FBDD39">
      <w:pPr>
        <w:keepNext w:val="1"/>
        <w:keepLines w:val="1"/>
        <w:bidi w:val="0"/>
        <w:spacing w:before="0" w:beforeAutospacing="off" w:after="0" w:afterAutospacing="off"/>
        <w:jc w:val="both"/>
        <w:rPr>
          <w:rFonts w:ascii="Aptos" w:hAnsi="Aptos" w:eastAsia="Aptos" w:cs="Aptos"/>
          <w:noProof w:val="0"/>
          <w:color w:val="000000" w:themeColor="text1" w:themeTint="FF" w:themeShade="FF"/>
          <w:lang w:val="en-US"/>
        </w:rPr>
      </w:pPr>
      <w:r w:rsidRPr="4A7CC396" w:rsidR="1A5162E2">
        <w:rPr>
          <w:rFonts w:ascii="Aptos" w:hAnsi="Aptos" w:eastAsia="Aptos" w:cs="Aptos"/>
          <w:noProof w:val="0"/>
          <w:color w:val="000000" w:themeColor="text1" w:themeTint="FF" w:themeShade="FF"/>
          <w:lang w:val="en-US"/>
        </w:rPr>
        <w:t>Prior to conducting the analysis, the research team expected organizational context to be a major factor influencing AI-assisted maturity assessments given these differing governance priorities. However, after aggregating the assessments produced by the three independent models, the overall organizational difference across all evaluated frameworks was only Δ = 0.02, suggesting that organizational context had a smaller influence on documented cybersecurity maturity than initially expected for the two organizations evaluated. This finding also demonstrates the value of aggregating assessments from multiple independent models, since the resulting scores provide a more stable representation of documented maturity while reducing reliance on the scoring behavior of any single model.</w:t>
      </w:r>
    </w:p>
    <w:p w:rsidR="61F9B131" w:rsidP="4A7CC396" w:rsidRDefault="61F9B131" w14:paraId="6F116494" w14:textId="37B43E84">
      <w:pPr>
        <w:keepNext w:val="1"/>
        <w:keepLines w:val="1"/>
        <w:bidi w:val="0"/>
        <w:spacing w:before="0" w:beforeAutospacing="off" w:after="240" w:afterAutospacing="off"/>
        <w:jc w:val="both"/>
        <w:rPr>
          <w:rFonts w:ascii="Aptos" w:hAnsi="Aptos" w:eastAsia="Aptos" w:cs="Aptos"/>
          <w:noProof w:val="0"/>
          <w:color w:val="000000" w:themeColor="text1" w:themeTint="FF" w:themeShade="FF"/>
          <w:lang w:val="en-US"/>
        </w:rPr>
      </w:pPr>
      <w:r w:rsidRPr="4A7CC396" w:rsidR="1A5162E2">
        <w:rPr>
          <w:rFonts w:ascii="Aptos" w:hAnsi="Aptos" w:eastAsia="Aptos" w:cs="Aptos"/>
          <w:noProof w:val="0"/>
          <w:color w:val="000000" w:themeColor="text1" w:themeTint="FF" w:themeShade="FF"/>
          <w:lang w:val="en-US"/>
        </w:rPr>
        <w:t xml:space="preserve">This comparison has several limitations. The analysis was conducted using only two organizational policy datasets, which may not be representative of their respective sectors, so the findings should be interpreted as an exploratory comparison rather than a definitive characterization of organizational differences. The maturity assessments also </w:t>
      </w:r>
      <w:r w:rsidRPr="4A7CC396" w:rsidR="1A5162E2">
        <w:rPr>
          <w:rFonts w:ascii="Aptos" w:hAnsi="Aptos" w:eastAsia="Aptos" w:cs="Aptos"/>
          <w:noProof w:val="0"/>
          <w:color w:val="000000" w:themeColor="text1" w:themeTint="FF" w:themeShade="FF"/>
          <w:lang w:val="en-US"/>
        </w:rPr>
        <w:t>represent</w:t>
      </w:r>
      <w:r w:rsidRPr="4A7CC396" w:rsidR="1A5162E2">
        <w:rPr>
          <w:rFonts w:ascii="Aptos" w:hAnsi="Aptos" w:eastAsia="Aptos" w:cs="Aptos"/>
          <w:noProof w:val="0"/>
          <w:color w:val="000000" w:themeColor="text1" w:themeTint="FF" w:themeShade="FF"/>
          <w:lang w:val="en-US"/>
        </w:rPr>
        <w:t xml:space="preserve"> a single execution of the AI-assisted assessment pipeline for each model; different prompts, model versions, or future model updates may produce different scores. Finally, while the aggregated analysis </w:t>
      </w:r>
      <w:r w:rsidRPr="4A7CC396" w:rsidR="1A5162E2">
        <w:rPr>
          <w:rFonts w:ascii="Aptos" w:hAnsi="Aptos" w:eastAsia="Aptos" w:cs="Aptos"/>
          <w:noProof w:val="0"/>
          <w:color w:val="000000" w:themeColor="text1" w:themeTint="FF" w:themeShade="FF"/>
          <w:lang w:val="en-US"/>
        </w:rPr>
        <w:t>demonstrated</w:t>
      </w:r>
      <w:r w:rsidRPr="4A7CC396" w:rsidR="1A5162E2">
        <w:rPr>
          <w:rFonts w:ascii="Aptos" w:hAnsi="Aptos" w:eastAsia="Aptos" w:cs="Aptos"/>
          <w:noProof w:val="0"/>
          <w:color w:val="000000" w:themeColor="text1" w:themeTint="FF" w:themeShade="FF"/>
          <w:lang w:val="en-US"/>
        </w:rPr>
        <w:t xml:space="preserve"> only a small overall organizational difference, this should not be interpreted as evidence that organizational context is </w:t>
      </w:r>
      <w:r w:rsidRPr="4A7CC396" w:rsidR="1A5162E2">
        <w:rPr>
          <w:rFonts w:ascii="Aptos" w:hAnsi="Aptos" w:eastAsia="Aptos" w:cs="Aptos"/>
          <w:noProof w:val="0"/>
          <w:color w:val="000000" w:themeColor="text1" w:themeTint="FF" w:themeShade="FF"/>
          <w:lang w:val="en-US"/>
        </w:rPr>
        <w:t>generally unimportant</w:t>
      </w:r>
      <w:r w:rsidRPr="4A7CC396" w:rsidR="1A5162E2">
        <w:rPr>
          <w:rFonts w:ascii="Aptos" w:hAnsi="Aptos" w:eastAsia="Aptos" w:cs="Aptos"/>
          <w:noProof w:val="0"/>
          <w:color w:val="000000" w:themeColor="text1" w:themeTint="FF" w:themeShade="FF"/>
          <w:lang w:val="en-US"/>
        </w:rPr>
        <w:t xml:space="preserve">, particularly given that individual frameworks such as NIST SP 800-53 and HIPAA showed greater sensitivity to it. Future research should evaluate a larger and more diverse sample of public- and private-sector organizations to </w:t>
      </w:r>
      <w:r w:rsidRPr="4A7CC396" w:rsidR="1A5162E2">
        <w:rPr>
          <w:rFonts w:ascii="Aptos" w:hAnsi="Aptos" w:eastAsia="Aptos" w:cs="Aptos"/>
          <w:noProof w:val="0"/>
          <w:color w:val="000000" w:themeColor="text1" w:themeTint="FF" w:themeShade="FF"/>
          <w:lang w:val="en-US"/>
        </w:rPr>
        <w:t>determine</w:t>
      </w:r>
      <w:r w:rsidRPr="4A7CC396" w:rsidR="1A5162E2">
        <w:rPr>
          <w:rFonts w:ascii="Aptos" w:hAnsi="Aptos" w:eastAsia="Aptos" w:cs="Aptos"/>
          <w:noProof w:val="0"/>
          <w:color w:val="000000" w:themeColor="text1" w:themeTint="FF" w:themeShade="FF"/>
          <w:lang w:val="en-US"/>
        </w:rPr>
        <w:t xml:space="preserve"> whether this observation generalizes across industries, organizational sizes, and regulatory environments.</w:t>
      </w:r>
    </w:p>
    <w:p w:rsidR="61F9B131" w:rsidP="4A7CC396" w:rsidRDefault="61F9B131" w14:paraId="68137B88" w14:textId="5C6D45D1">
      <w:pPr>
        <w:pStyle w:val="Heading2"/>
        <w:suppressLineNumbers w:val="0"/>
        <w:bidi w:val="0"/>
        <w:spacing w:before="0" w:beforeAutospacing="off" w:after="0" w:afterAutospacing="off" w:line="259" w:lineRule="auto"/>
        <w:ind w:left="0" w:right="0"/>
        <w:jc w:val="both"/>
        <w:rPr>
          <w:rFonts w:ascii="Times New Roman" w:hAnsi="Times New Roman" w:eastAsia="Times New Roman" w:cs="Times New Roman"/>
          <w:i w:val="1"/>
          <w:iCs w:val="1"/>
          <w:noProof w:val="0"/>
          <w:sz w:val="20"/>
          <w:szCs w:val="20"/>
          <w:lang w:val="en-US"/>
        </w:rPr>
      </w:pPr>
      <w:r w:rsidRPr="4A7CC396" w:rsidR="61F9B131">
        <w:rPr>
          <w:rFonts w:ascii="Times New Roman" w:hAnsi="Times New Roman" w:eastAsia="Times New Roman" w:cs="Times New Roman"/>
          <w:i w:val="1"/>
          <w:iCs w:val="1"/>
          <w:noProof w:val="0"/>
          <w:sz w:val="20"/>
          <w:szCs w:val="20"/>
          <w:lang w:val="en"/>
        </w:rPr>
        <w:t>VI</w:t>
      </w:r>
      <w:r w:rsidRPr="4A7CC396" w:rsidR="09220E70">
        <w:rPr>
          <w:rFonts w:ascii="Times New Roman" w:hAnsi="Times New Roman" w:eastAsia="Times New Roman" w:cs="Times New Roman"/>
          <w:i w:val="1"/>
          <w:iCs w:val="1"/>
          <w:noProof w:val="0"/>
          <w:sz w:val="20"/>
          <w:szCs w:val="20"/>
          <w:lang w:val="en"/>
        </w:rPr>
        <w:t>I</w:t>
      </w:r>
      <w:r w:rsidRPr="4A7CC396" w:rsidR="61F9B131">
        <w:rPr>
          <w:rFonts w:ascii="Times New Roman" w:hAnsi="Times New Roman" w:eastAsia="Times New Roman" w:cs="Times New Roman"/>
          <w:i w:val="1"/>
          <w:iCs w:val="1"/>
          <w:noProof w:val="0"/>
          <w:sz w:val="20"/>
          <w:szCs w:val="20"/>
          <w:lang w:val="en"/>
        </w:rPr>
        <w:t>.  Hallucination Detection and Measurement</w:t>
      </w:r>
    </w:p>
    <w:p w:rsidR="0CCECC42" w:rsidP="4A7CC396" w:rsidRDefault="0CCECC42" w14:paraId="06122BEC" w14:textId="29492555">
      <w:pPr>
        <w:bidi w:val="0"/>
        <w:spacing w:before="0" w:beforeAutospacing="off" w:after="0" w:afterAutospacing="off"/>
        <w:jc w:val="both"/>
        <w:rPr>
          <w:rFonts w:ascii="Aptos" w:hAnsi="Aptos" w:eastAsia="Aptos" w:cs="Aptos"/>
          <w:b w:val="0"/>
          <w:bCs w:val="0"/>
          <w:noProof w:val="0"/>
          <w:color w:val="000000" w:themeColor="text1" w:themeTint="FF" w:themeShade="FF"/>
          <w:sz w:val="20"/>
          <w:szCs w:val="20"/>
          <w:lang w:val="en"/>
        </w:rPr>
      </w:pPr>
      <w:r w:rsidRPr="4A7CC396" w:rsidR="0CCECC42">
        <w:rPr>
          <w:rFonts w:ascii="Aptos" w:hAnsi="Aptos" w:eastAsia="Aptos" w:cs="Aptos"/>
          <w:b w:val="0"/>
          <w:bCs w:val="0"/>
          <w:noProof w:val="0"/>
          <w:color w:val="000000" w:themeColor="text1" w:themeTint="FF" w:themeShade="FF"/>
          <w:sz w:val="20"/>
          <w:szCs w:val="20"/>
          <w:lang w:val="en"/>
        </w:rPr>
        <w:t>GRC-LLM's evaluation pipeline detects and measures hallucinations through two complementary approaches. LLM-as-judge evaluation alone carries a risk of bias or misrepresentation even with carefully detailed prompts, and it incurs meaningful runtime and computational cost. To address this, the evaluation pipeline pairs generative judging with a second, deterministic approach based on non-generative hallucination detection methods.</w:t>
      </w:r>
    </w:p>
    <w:p w:rsidR="0CCECC42" w:rsidP="4A7CC396" w:rsidRDefault="0CCECC42" w14:paraId="7B02416E" w14:textId="40B954CB">
      <w:pPr>
        <w:bidi w:val="0"/>
        <w:spacing w:before="0" w:beforeAutospacing="off" w:after="0" w:afterAutospacing="off"/>
        <w:jc w:val="both"/>
        <w:rPr>
          <w:rFonts w:ascii="Aptos" w:hAnsi="Aptos" w:eastAsia="Aptos" w:cs="Aptos"/>
          <w:b w:val="0"/>
          <w:bCs w:val="0"/>
          <w:i w:val="1"/>
          <w:iCs w:val="1"/>
          <w:noProof w:val="0"/>
          <w:color w:val="000000" w:themeColor="text1" w:themeTint="FF" w:themeShade="FF"/>
          <w:sz w:val="20"/>
          <w:szCs w:val="20"/>
          <w:lang w:val="en-US"/>
        </w:rPr>
      </w:pPr>
      <w:r w:rsidRPr="4A7CC396" w:rsidR="0CCECC42">
        <w:rPr>
          <w:rFonts w:ascii="Aptos" w:hAnsi="Aptos" w:eastAsia="Aptos" w:cs="Aptos"/>
          <w:b w:val="0"/>
          <w:bCs w:val="0"/>
          <w:noProof w:val="0"/>
          <w:color w:val="000000" w:themeColor="text1" w:themeTint="FF" w:themeShade="FF"/>
          <w:sz w:val="20"/>
          <w:szCs w:val="20"/>
          <w:lang w:val="en-US"/>
        </w:rPr>
        <w:t xml:space="preserve">The first approach is LLM-as-judge evaluation, which is entirely automated with no human reviewer reading individual outputs at this evaluation stage. The judge model isolates hallucinations by breaking generated outputs into atomic claims and checking whether each is supported, neutral, or contradicted by the retrieved context. It also </w:t>
      </w:r>
      <w:r w:rsidRPr="4A7CC396" w:rsidR="0CCECC42">
        <w:rPr>
          <w:rFonts w:ascii="Aptos" w:hAnsi="Aptos" w:eastAsia="Aptos" w:cs="Aptos"/>
          <w:b w:val="0"/>
          <w:bCs w:val="0"/>
          <w:noProof w:val="0"/>
          <w:color w:val="000000" w:themeColor="text1" w:themeTint="FF" w:themeShade="FF"/>
          <w:sz w:val="20"/>
          <w:szCs w:val="20"/>
          <w:lang w:val="en-US"/>
        </w:rPr>
        <w:t>identifies</w:t>
      </w:r>
      <w:r w:rsidRPr="4A7CC396" w:rsidR="0CCECC42">
        <w:rPr>
          <w:rFonts w:ascii="Aptos" w:hAnsi="Aptos" w:eastAsia="Aptos" w:cs="Aptos"/>
          <w:b w:val="0"/>
          <w:bCs w:val="0"/>
          <w:noProof w:val="0"/>
          <w:color w:val="000000" w:themeColor="text1" w:themeTint="FF" w:themeShade="FF"/>
          <w:sz w:val="20"/>
          <w:szCs w:val="20"/>
          <w:lang w:val="en-US"/>
        </w:rPr>
        <w:t xml:space="preserve"> compliance hallucinations, where a model assigns a high maturity score despite poor retrieval quality, by comparing Evidence Relevance scores against maturity classifications. Faithfulness measures whether the model introduced any outside information by checking individual factual statements directly against the source document. Cross-metric delta verification analyzes the divergence between Evidence Relevance and Faithfulness: a substantial divergence between Faithfulness and Evidence Relevance may </w:t>
      </w:r>
      <w:r w:rsidRPr="4A7CC396" w:rsidR="0CCECC42">
        <w:rPr>
          <w:rFonts w:ascii="Aptos" w:hAnsi="Aptos" w:eastAsia="Aptos" w:cs="Aptos"/>
          <w:b w:val="0"/>
          <w:bCs w:val="0"/>
          <w:noProof w:val="0"/>
          <w:color w:val="000000" w:themeColor="text1" w:themeTint="FF" w:themeShade="FF"/>
          <w:sz w:val="20"/>
          <w:szCs w:val="20"/>
          <w:lang w:val="en-US"/>
        </w:rPr>
        <w:t>indicate</w:t>
      </w:r>
      <w:r w:rsidRPr="4A7CC396" w:rsidR="0CCECC42">
        <w:rPr>
          <w:rFonts w:ascii="Aptos" w:hAnsi="Aptos" w:eastAsia="Aptos" w:cs="Aptos"/>
          <w:b w:val="0"/>
          <w:bCs w:val="0"/>
          <w:noProof w:val="0"/>
          <w:color w:val="000000" w:themeColor="text1" w:themeTint="FF" w:themeShade="FF"/>
          <w:sz w:val="20"/>
          <w:szCs w:val="20"/>
          <w:lang w:val="en-US"/>
        </w:rPr>
        <w:t xml:space="preserve"> that the model is accurately summarizing the retrieved passage while extending that passage beyond its relevance to the assessed control. Such cases are treated as potential compliance over-extrapolation and require further review. </w:t>
      </w:r>
    </w:p>
    <w:p w:rsidR="0CCECC42" w:rsidP="4A7CC396" w:rsidRDefault="0CCECC42" w14:paraId="21D4A043" w14:textId="0CD997BC">
      <w:pPr>
        <w:bidi w:val="0"/>
        <w:spacing w:before="0" w:beforeAutospacing="off" w:after="0" w:afterAutospacing="off"/>
        <w:jc w:val="both"/>
        <w:rPr>
          <w:rFonts w:ascii="Aptos" w:hAnsi="Aptos" w:eastAsia="Aptos" w:cs="Aptos"/>
          <w:b w:val="0"/>
          <w:bCs w:val="0"/>
          <w:noProof w:val="0"/>
          <w:color w:val="000000" w:themeColor="text1" w:themeTint="FF" w:themeShade="FF"/>
          <w:sz w:val="20"/>
          <w:szCs w:val="20"/>
          <w:lang w:val="en-US"/>
        </w:rPr>
      </w:pPr>
      <w:r w:rsidRPr="4A7CC396" w:rsidR="0CCECC42">
        <w:rPr>
          <w:rFonts w:ascii="Aptos" w:hAnsi="Aptos" w:eastAsia="Aptos" w:cs="Aptos"/>
          <w:b w:val="0"/>
          <w:bCs w:val="0"/>
          <w:noProof w:val="0"/>
          <w:color w:val="000000" w:themeColor="text1" w:themeTint="FF" w:themeShade="FF"/>
          <w:sz w:val="20"/>
          <w:szCs w:val="20"/>
          <w:lang w:val="en-US"/>
        </w:rPr>
        <w:t xml:space="preserve">The second approach is deterministic NLI and NER auditing. To address the limitations of generative judges, which can approve plausible-sounding rationales even when source policies provide no supporting evidence, the pipeline additionally deploys a deterministic evaluation combining Natural Language Inference (NLI) cross-encoders, dense vector embeddings, and Named Entity Recognition (NER) index auditing. The metrics from this pipeline are as follows. Overall Hallucination Percentage (0.00 to 1.00) measures the proportion of control rationales </w:t>
      </w:r>
      <w:r w:rsidRPr="4A7CC396" w:rsidR="0CCECC42">
        <w:rPr>
          <w:rFonts w:ascii="Aptos" w:hAnsi="Aptos" w:eastAsia="Aptos" w:cs="Aptos"/>
          <w:b w:val="0"/>
          <w:bCs w:val="0"/>
          <w:noProof w:val="0"/>
          <w:color w:val="000000" w:themeColor="text1" w:themeTint="FF" w:themeShade="FF"/>
          <w:sz w:val="20"/>
          <w:szCs w:val="20"/>
          <w:lang w:val="en-US"/>
        </w:rPr>
        <w:t>in a given</w:t>
      </w:r>
      <w:r w:rsidRPr="4A7CC396" w:rsidR="0CCECC42">
        <w:rPr>
          <w:rFonts w:ascii="Aptos" w:hAnsi="Aptos" w:eastAsia="Aptos" w:cs="Aptos"/>
          <w:b w:val="0"/>
          <w:bCs w:val="0"/>
          <w:noProof w:val="0"/>
          <w:color w:val="000000" w:themeColor="text1" w:themeTint="FF" w:themeShade="FF"/>
          <w:sz w:val="20"/>
          <w:szCs w:val="20"/>
          <w:lang w:val="en-US"/>
        </w:rPr>
        <w:t xml:space="preserve"> run classified as hallucinations, calculated as the population mean where Unfaithfulness Risk exceeds 0.50. Unfaithfulness Risk (0.00 to 1.00) measures sequence-level non-entailment using a DeBERTa-v3 NLI cross-encoder, </w:t>
      </w:r>
      <w:r w:rsidRPr="4A7CC396" w:rsidR="0CCECC42">
        <w:rPr>
          <w:rFonts w:ascii="Aptos" w:hAnsi="Aptos" w:eastAsia="Aptos" w:cs="Aptos"/>
          <w:b w:val="0"/>
          <w:bCs w:val="0"/>
          <w:noProof w:val="0"/>
          <w:color w:val="000000" w:themeColor="text1" w:themeTint="FF" w:themeShade="FF"/>
          <w:sz w:val="20"/>
          <w:szCs w:val="20"/>
          <w:lang w:val="en-US"/>
        </w:rPr>
        <w:t xml:space="preserve">calculated as one minus the entailment probability, to quantify the likelihood that a generated rationale </w:t>
      </w:r>
      <w:r w:rsidRPr="4A7CC396" w:rsidR="0CCECC42">
        <w:rPr>
          <w:rFonts w:ascii="Aptos" w:hAnsi="Aptos" w:eastAsia="Aptos" w:cs="Aptos"/>
          <w:b w:val="0"/>
          <w:bCs w:val="0"/>
          <w:noProof w:val="0"/>
          <w:color w:val="000000" w:themeColor="text1" w:themeTint="FF" w:themeShade="FF"/>
          <w:sz w:val="20"/>
          <w:szCs w:val="20"/>
          <w:lang w:val="en-US"/>
        </w:rPr>
        <w:t>contains</w:t>
      </w:r>
      <w:r w:rsidRPr="4A7CC396" w:rsidR="0CCECC42">
        <w:rPr>
          <w:rFonts w:ascii="Aptos" w:hAnsi="Aptos" w:eastAsia="Aptos" w:cs="Aptos"/>
          <w:b w:val="0"/>
          <w:bCs w:val="0"/>
          <w:noProof w:val="0"/>
          <w:color w:val="000000" w:themeColor="text1" w:themeTint="FF" w:themeShade="FF"/>
          <w:sz w:val="20"/>
          <w:szCs w:val="20"/>
          <w:lang w:val="en-US"/>
        </w:rPr>
        <w:t xml:space="preserve"> claims not entailed by the cited evidence. Direct Contradiction Probability (0.00 to 1.00) measures the exact probability that a generated score rationale actively refutes or contradicts the source </w:t>
      </w:r>
      <w:r w:rsidRPr="4A7CC396" w:rsidR="0CCECC42">
        <w:rPr>
          <w:rFonts w:ascii="Aptos" w:hAnsi="Aptos" w:eastAsia="Aptos" w:cs="Aptos"/>
          <w:b w:val="0"/>
          <w:bCs w:val="0"/>
          <w:noProof w:val="0"/>
          <w:color w:val="000000" w:themeColor="text1" w:themeTint="FF" w:themeShade="FF"/>
          <w:sz w:val="20"/>
          <w:szCs w:val="20"/>
          <w:lang w:val="en-US"/>
        </w:rPr>
        <w:t>evidence</w:t>
      </w:r>
      <w:r w:rsidRPr="4A7CC396" w:rsidR="0CCECC42">
        <w:rPr>
          <w:rFonts w:ascii="Aptos" w:hAnsi="Aptos" w:eastAsia="Aptos" w:cs="Aptos"/>
          <w:b w:val="0"/>
          <w:bCs w:val="0"/>
          <w:noProof w:val="0"/>
          <w:color w:val="000000" w:themeColor="text1" w:themeTint="FF" w:themeShade="FF"/>
          <w:sz w:val="20"/>
          <w:szCs w:val="20"/>
          <w:lang w:val="en-US"/>
        </w:rPr>
        <w:t xml:space="preserve"> text. Semantic Drift Risk (0.00 to 1.00) measures global conceptual divergence using MiniLM-L6 vector cosine distance. Fabricated Entities Count measures the total volume of invented named entities, technical frameworks, vendor names, or control codes in the rationale by using </w:t>
      </w:r>
      <w:r w:rsidRPr="4A7CC396" w:rsidR="0CCECC42">
        <w:rPr>
          <w:rFonts w:ascii="Aptos" w:hAnsi="Aptos" w:eastAsia="Aptos" w:cs="Aptos"/>
          <w:b w:val="0"/>
          <w:bCs w:val="0"/>
          <w:noProof w:val="0"/>
          <w:color w:val="000000" w:themeColor="text1" w:themeTint="FF" w:themeShade="FF"/>
          <w:sz w:val="20"/>
          <w:szCs w:val="20"/>
          <w:lang w:val="en-US"/>
        </w:rPr>
        <w:t>spaCy</w:t>
      </w:r>
      <w:r w:rsidRPr="4A7CC396" w:rsidR="0CCECC42">
        <w:rPr>
          <w:rFonts w:ascii="Aptos" w:hAnsi="Aptos" w:eastAsia="Aptos" w:cs="Aptos"/>
          <w:b w:val="0"/>
          <w:bCs w:val="0"/>
          <w:noProof w:val="0"/>
          <w:color w:val="000000" w:themeColor="text1" w:themeTint="FF" w:themeShade="FF"/>
          <w:sz w:val="20"/>
          <w:szCs w:val="20"/>
          <w:lang w:val="en-US"/>
        </w:rPr>
        <w:t xml:space="preserve"> NER and regex matching to </w:t>
      </w:r>
      <w:r w:rsidRPr="4A7CC396" w:rsidR="0CCECC42">
        <w:rPr>
          <w:rFonts w:ascii="Aptos" w:hAnsi="Aptos" w:eastAsia="Aptos" w:cs="Aptos"/>
          <w:b w:val="0"/>
          <w:bCs w:val="0"/>
          <w:noProof w:val="0"/>
          <w:color w:val="000000" w:themeColor="text1" w:themeTint="FF" w:themeShade="FF"/>
          <w:sz w:val="20"/>
          <w:szCs w:val="20"/>
          <w:lang w:val="en-US"/>
        </w:rPr>
        <w:t xml:space="preserve">flag terms absent from the source document. </w:t>
      </w:r>
    </w:p>
    <w:p w:rsidR="58A057EB" w:rsidP="4A7CC396" w:rsidRDefault="58A057EB" w14:paraId="37940D56" w14:textId="2FBDDB76">
      <w:pPr>
        <w:bidi w:val="0"/>
        <w:jc w:val="both"/>
        <w:rPr>
          <w:rFonts w:ascii="Aptos" w:hAnsi="Aptos" w:eastAsia="Aptos" w:cs="Aptos"/>
          <w:noProof w:val="0"/>
          <w:color w:val="000000" w:themeColor="text1" w:themeTint="FF" w:themeShade="FF"/>
          <w:sz w:val="20"/>
          <w:szCs w:val="20"/>
          <w:lang w:val="en-US"/>
        </w:rPr>
      </w:pPr>
      <w:r w:rsidRPr="4A7CC396" w:rsidR="58A057EB">
        <w:rPr>
          <w:rFonts w:ascii="Aptos" w:hAnsi="Aptos" w:eastAsia="Aptos" w:cs="Aptos"/>
          <w:noProof w:val="0"/>
          <w:color w:val="000000" w:themeColor="text1" w:themeTint="FF" w:themeShade="FF"/>
          <w:sz w:val="20"/>
          <w:szCs w:val="20"/>
          <w:lang w:val="en-US"/>
        </w:rPr>
        <w:t>Because the DeBERTa-v3 cross-encoder used for entailment checking has a limited input window, the NLI and Unfaithfulness Risk calculations were run against the first 1,500 characters of each source document rather than its full text, a constraint also noted in Scope and Limitations.</w:t>
      </w:r>
    </w:p>
    <w:p w:rsidR="0CCECC42" w:rsidP="4A7CC396" w:rsidRDefault="0CCECC42" w14:paraId="05EF6C75" w14:textId="098A14B1">
      <w:pPr>
        <w:bidi w:val="0"/>
        <w:spacing w:before="0" w:beforeAutospacing="off" w:after="0" w:afterAutospacing="off"/>
        <w:rPr>
          <w:rFonts w:ascii="Aptos" w:hAnsi="Aptos" w:eastAsia="Aptos" w:cs="Aptos"/>
          <w:b w:val="0"/>
          <w:bCs w:val="0"/>
          <w:noProof w:val="0"/>
          <w:color w:val="000000" w:themeColor="text1" w:themeTint="FF" w:themeShade="FF"/>
          <w:sz w:val="20"/>
          <w:szCs w:val="20"/>
          <w:lang w:val="en"/>
        </w:rPr>
      </w:pPr>
      <w:r w:rsidRPr="4A7CC396" w:rsidR="0CCECC42">
        <w:rPr>
          <w:rFonts w:ascii="Aptos" w:hAnsi="Aptos" w:eastAsia="Aptos" w:cs="Aptos"/>
          <w:b w:val="0"/>
          <w:bCs w:val="0"/>
          <w:noProof w:val="0"/>
          <w:color w:val="000000" w:themeColor="text1" w:themeTint="FF" w:themeShade="FF"/>
          <w:sz w:val="20"/>
          <w:szCs w:val="20"/>
          <w:lang w:val="en"/>
        </w:rPr>
        <w:t xml:space="preserve">Table </w:t>
      </w:r>
      <w:r w:rsidRPr="4A7CC396" w:rsidR="61BBA5C6">
        <w:rPr>
          <w:rFonts w:ascii="Aptos" w:hAnsi="Aptos" w:eastAsia="Aptos" w:cs="Aptos"/>
          <w:b w:val="0"/>
          <w:bCs w:val="0"/>
          <w:noProof w:val="0"/>
          <w:color w:val="000000" w:themeColor="text1" w:themeTint="FF" w:themeShade="FF"/>
          <w:sz w:val="20"/>
          <w:szCs w:val="20"/>
          <w:lang w:val="en"/>
        </w:rPr>
        <w:t>7</w:t>
      </w:r>
      <w:r w:rsidRPr="4A7CC396" w:rsidR="0CCECC42">
        <w:rPr>
          <w:rFonts w:ascii="Aptos" w:hAnsi="Aptos" w:eastAsia="Aptos" w:cs="Aptos"/>
          <w:b w:val="0"/>
          <w:bCs w:val="0"/>
          <w:noProof w:val="0"/>
          <w:color w:val="000000" w:themeColor="text1" w:themeTint="FF" w:themeShade="FF"/>
          <w:sz w:val="20"/>
          <w:szCs w:val="20"/>
          <w:lang w:val="en"/>
        </w:rPr>
        <w:t xml:space="preserve"> presents the deterministic hallucination audit results across all runs.</w:t>
      </w:r>
    </w:p>
    <w:p w:rsidR="61F9B131" w:rsidP="4A7CC396" w:rsidRDefault="61F9B131" w14:paraId="0585AC5C" w14:textId="641839B4">
      <w:pPr>
        <w:spacing w:before="240" w:beforeAutospacing="off"/>
        <w:jc w:val="center"/>
      </w:pPr>
      <w:r w:rsidRPr="4A7CC396" w:rsidR="61F9B131">
        <w:rPr>
          <w:rFonts w:ascii="Times New Roman" w:hAnsi="Times New Roman" w:eastAsia="Times New Roman" w:cs="Times New Roman"/>
          <w:noProof w:val="0"/>
          <w:sz w:val="20"/>
          <w:szCs w:val="20"/>
          <w:lang w:val="en-US"/>
        </w:rPr>
        <w:t xml:space="preserve">Table </w:t>
      </w:r>
      <w:r w:rsidRPr="4A7CC396" w:rsidR="2C822B04">
        <w:rPr>
          <w:rFonts w:ascii="Times New Roman" w:hAnsi="Times New Roman" w:eastAsia="Times New Roman" w:cs="Times New Roman"/>
          <w:noProof w:val="0"/>
          <w:sz w:val="20"/>
          <w:szCs w:val="20"/>
          <w:lang w:val="en-US"/>
        </w:rPr>
        <w:t>7</w:t>
      </w:r>
      <w:r w:rsidRPr="4A7CC396" w:rsidR="61F9B131">
        <w:rPr>
          <w:rFonts w:ascii="Times New Roman" w:hAnsi="Times New Roman" w:eastAsia="Times New Roman" w:cs="Times New Roman"/>
          <w:noProof w:val="0"/>
          <w:sz w:val="20"/>
          <w:szCs w:val="20"/>
          <w:lang w:val="en-US"/>
        </w:rPr>
        <w:t xml:space="preserve">. </w:t>
      </w:r>
      <w:r w:rsidRPr="4A7CC396" w:rsidR="44D5E768">
        <w:rPr>
          <w:rFonts w:ascii="Times New Roman" w:hAnsi="Times New Roman" w:eastAsia="Times New Roman" w:cs="Times New Roman"/>
          <w:noProof w:val="0"/>
          <w:color w:val="000000" w:themeColor="text1" w:themeTint="FF" w:themeShade="FF"/>
          <w:sz w:val="20"/>
          <w:szCs w:val="20"/>
          <w:lang w:val="en-US"/>
        </w:rPr>
        <w:t>Deterministic Hallucination Audit Indicators</w:t>
      </w:r>
    </w:p>
    <w:tbl>
      <w:tblPr>
        <w:tblStyle w:val="TableGrid"/>
        <w:bidiVisual w:val="0"/>
        <w:tblW w:w="4665" w:type="dxa"/>
        <w:tblBorders>
          <w:top w:val="single" w:sz="6"/>
          <w:left w:val="single" w:sz="6"/>
          <w:bottom w:val="single" w:sz="6"/>
          <w:right w:val="single" w:sz="6"/>
        </w:tblBorders>
        <w:tblLook w:val="06A0" w:firstRow="1" w:lastRow="0" w:firstColumn="1" w:lastColumn="0" w:noHBand="1" w:noVBand="1"/>
      </w:tblPr>
      <w:tblGrid>
        <w:gridCol w:w="960"/>
        <w:gridCol w:w="765"/>
        <w:gridCol w:w="645"/>
        <w:gridCol w:w="802"/>
        <w:gridCol w:w="645"/>
        <w:gridCol w:w="848"/>
      </w:tblGrid>
      <w:tr xmlns:wp14="http://schemas.microsoft.com/office/word/2010/wordml" w:rsidR="4C15D6E0" w:rsidTr="4A7CC396" w14:paraId="1DA5CE2E" wp14:textId="77777777">
        <w:trPr>
          <w:trHeight w:val="300"/>
        </w:trPr>
        <w:tc>
          <w:tcPr>
            <w:tcW w:w="960" w:type="dxa"/>
            <w:tcMar>
              <w:left w:w="105" w:type="dxa"/>
              <w:right w:w="105" w:type="dxa"/>
            </w:tcMar>
            <w:vAlign w:val="center"/>
          </w:tcPr>
          <w:p w:rsidR="4A7CC396" w:rsidP="4A7CC396" w:rsidRDefault="4A7CC396" w14:paraId="70376BBD" w14:textId="26667E76">
            <w:pPr>
              <w:bidi w:val="0"/>
              <w:spacing w:before="0" w:beforeAutospacing="off" w:after="0" w:afterAutospacing="off"/>
              <w:jc w:val="center"/>
            </w:pPr>
            <w:r w:rsidRPr="4A7CC396" w:rsidR="4A7CC396">
              <w:rPr>
                <w:b w:val="1"/>
                <w:bCs w:val="1"/>
                <w:color w:val="000000" w:themeColor="text1" w:themeTint="FF" w:themeShade="FF"/>
              </w:rPr>
              <w:t>Run Identifier</w:t>
            </w:r>
          </w:p>
        </w:tc>
        <w:tc>
          <w:tcPr>
            <w:tcW w:w="765" w:type="dxa"/>
            <w:tcMar>
              <w:left w:w="105" w:type="dxa"/>
              <w:right w:w="105" w:type="dxa"/>
            </w:tcMar>
            <w:vAlign w:val="center"/>
          </w:tcPr>
          <w:p w:rsidR="4A7CC396" w:rsidP="4A7CC396" w:rsidRDefault="4A7CC396" w14:paraId="7B17D964" w14:textId="10F3EA93">
            <w:pPr>
              <w:bidi w:val="0"/>
              <w:spacing w:before="0" w:beforeAutospacing="off" w:after="0" w:afterAutospacing="off"/>
              <w:jc w:val="center"/>
            </w:pPr>
            <w:r w:rsidRPr="4A7CC396" w:rsidR="4A7CC396">
              <w:rPr>
                <w:b w:val="1"/>
                <w:bCs w:val="1"/>
                <w:color w:val="000000" w:themeColor="text1" w:themeTint="FF" w:themeShade="FF"/>
              </w:rPr>
              <w:t>Overall Hallucination %</w:t>
            </w:r>
          </w:p>
        </w:tc>
        <w:tc>
          <w:tcPr>
            <w:tcW w:w="645" w:type="dxa"/>
            <w:tcMar>
              <w:left w:w="105" w:type="dxa"/>
              <w:right w:w="105" w:type="dxa"/>
            </w:tcMar>
            <w:vAlign w:val="center"/>
          </w:tcPr>
          <w:p w:rsidR="4A7CC396" w:rsidP="4A7CC396" w:rsidRDefault="4A7CC396" w14:paraId="18010FBE" w14:textId="1C2EF1B5">
            <w:pPr>
              <w:bidi w:val="0"/>
              <w:spacing w:before="0" w:beforeAutospacing="off" w:after="0" w:afterAutospacing="off"/>
              <w:jc w:val="center"/>
            </w:pPr>
            <w:r w:rsidRPr="4A7CC396" w:rsidR="4A7CC396">
              <w:rPr>
                <w:b w:val="1"/>
                <w:bCs w:val="1"/>
                <w:color w:val="000000" w:themeColor="text1" w:themeTint="FF" w:themeShade="FF"/>
              </w:rPr>
              <w:t>Unfaithfulness Risk</w:t>
            </w:r>
          </w:p>
        </w:tc>
        <w:tc>
          <w:tcPr>
            <w:tcW w:w="802" w:type="dxa"/>
            <w:tcMar>
              <w:left w:w="105" w:type="dxa"/>
              <w:right w:w="105" w:type="dxa"/>
            </w:tcMar>
            <w:vAlign w:val="center"/>
          </w:tcPr>
          <w:p w:rsidR="4A7CC396" w:rsidP="4A7CC396" w:rsidRDefault="4A7CC396" w14:paraId="731736AE" w14:textId="222C6587">
            <w:pPr>
              <w:bidi w:val="0"/>
              <w:spacing w:before="0" w:beforeAutospacing="off" w:after="0" w:afterAutospacing="off"/>
              <w:jc w:val="center"/>
            </w:pPr>
            <w:r w:rsidRPr="4A7CC396" w:rsidR="4A7CC396">
              <w:rPr>
                <w:b w:val="1"/>
                <w:bCs w:val="1"/>
                <w:color w:val="000000" w:themeColor="text1" w:themeTint="FF" w:themeShade="FF"/>
              </w:rPr>
              <w:t>Direct Contradiction Prob</w:t>
            </w:r>
          </w:p>
        </w:tc>
        <w:tc>
          <w:tcPr>
            <w:tcW w:w="645" w:type="dxa"/>
            <w:tcMar>
              <w:left w:w="105" w:type="dxa"/>
              <w:right w:w="105" w:type="dxa"/>
            </w:tcMar>
            <w:vAlign w:val="center"/>
          </w:tcPr>
          <w:p w:rsidR="4A7CC396" w:rsidP="4A7CC396" w:rsidRDefault="4A7CC396" w14:paraId="03D1F6BC" w14:textId="5B6E7790">
            <w:pPr>
              <w:bidi w:val="0"/>
              <w:spacing w:before="0" w:beforeAutospacing="off" w:after="0" w:afterAutospacing="off"/>
              <w:jc w:val="center"/>
            </w:pPr>
            <w:r w:rsidRPr="4A7CC396" w:rsidR="4A7CC396">
              <w:rPr>
                <w:b w:val="1"/>
                <w:bCs w:val="1"/>
                <w:color w:val="000000" w:themeColor="text1" w:themeTint="FF" w:themeShade="FF"/>
              </w:rPr>
              <w:t>Semantic Drift Risk</w:t>
            </w:r>
          </w:p>
        </w:tc>
        <w:tc>
          <w:tcPr>
            <w:tcW w:w="848" w:type="dxa"/>
            <w:tcMar>
              <w:left w:w="105" w:type="dxa"/>
              <w:right w:w="105" w:type="dxa"/>
            </w:tcMar>
            <w:vAlign w:val="center"/>
          </w:tcPr>
          <w:p w:rsidR="4A7CC396" w:rsidP="4A7CC396" w:rsidRDefault="4A7CC396" w14:paraId="28500079" w14:textId="00A0A8C1">
            <w:pPr>
              <w:bidi w:val="0"/>
              <w:spacing w:before="0" w:beforeAutospacing="off" w:after="0" w:afterAutospacing="off"/>
              <w:jc w:val="center"/>
            </w:pPr>
            <w:r w:rsidRPr="4A7CC396" w:rsidR="4A7CC396">
              <w:rPr>
                <w:b w:val="1"/>
                <w:bCs w:val="1"/>
                <w:color w:val="000000" w:themeColor="text1" w:themeTint="FF" w:themeShade="FF"/>
              </w:rPr>
              <w:t>Fabricated Entities Count</w:t>
            </w:r>
          </w:p>
        </w:tc>
      </w:tr>
      <w:tr xmlns:wp14="http://schemas.microsoft.com/office/word/2010/wordml" w:rsidR="4C15D6E0" w:rsidTr="4A7CC396" w14:paraId="43CF8F86" wp14:textId="77777777">
        <w:trPr>
          <w:trHeight w:val="300"/>
        </w:trPr>
        <w:tc>
          <w:tcPr>
            <w:tcW w:w="960" w:type="dxa"/>
            <w:tcMar>
              <w:left w:w="105" w:type="dxa"/>
              <w:right w:w="105" w:type="dxa"/>
            </w:tcMar>
            <w:vAlign w:val="center"/>
          </w:tcPr>
          <w:p w:rsidR="4A7CC396" w:rsidP="4A7CC396" w:rsidRDefault="4A7CC396" w14:paraId="0151B908" w14:textId="16125682">
            <w:pPr>
              <w:bidi w:val="0"/>
              <w:spacing w:before="0" w:beforeAutospacing="off" w:after="0" w:afterAutospacing="off"/>
            </w:pPr>
            <w:r w:rsidRPr="4A7CC396" w:rsidR="4A7CC396">
              <w:rPr>
                <w:color w:val="000000" w:themeColor="text1" w:themeTint="FF" w:themeShade="FF"/>
                <w:lang w:val="en-US"/>
              </w:rPr>
              <w:t>DeptEduc_Anthrop</w:t>
            </w:r>
          </w:p>
        </w:tc>
        <w:tc>
          <w:tcPr>
            <w:tcW w:w="765" w:type="dxa"/>
            <w:tcMar>
              <w:left w:w="105" w:type="dxa"/>
              <w:right w:w="105" w:type="dxa"/>
            </w:tcMar>
            <w:vAlign w:val="center"/>
          </w:tcPr>
          <w:p w:rsidR="4A7CC396" w:rsidP="4A7CC396" w:rsidRDefault="4A7CC396" w14:paraId="5E669C84" w14:textId="7F0F0D3D">
            <w:pPr>
              <w:bidi w:val="0"/>
              <w:spacing w:before="0" w:beforeAutospacing="off" w:after="0" w:afterAutospacing="off"/>
            </w:pPr>
            <w:r w:rsidRPr="4A7CC396" w:rsidR="4A7CC396">
              <w:rPr>
                <w:color w:val="000000" w:themeColor="text1" w:themeTint="FF" w:themeShade="FF"/>
              </w:rPr>
              <w:t>0.1909</w:t>
            </w:r>
          </w:p>
        </w:tc>
        <w:tc>
          <w:tcPr>
            <w:tcW w:w="645" w:type="dxa"/>
            <w:tcMar>
              <w:left w:w="105" w:type="dxa"/>
              <w:right w:w="105" w:type="dxa"/>
            </w:tcMar>
            <w:vAlign w:val="center"/>
          </w:tcPr>
          <w:p w:rsidR="4A7CC396" w:rsidP="4A7CC396" w:rsidRDefault="4A7CC396" w14:paraId="47E83FE1" w14:textId="4A709B85">
            <w:pPr>
              <w:bidi w:val="0"/>
              <w:spacing w:before="0" w:beforeAutospacing="off" w:after="0" w:afterAutospacing="off"/>
            </w:pPr>
            <w:r w:rsidRPr="4A7CC396" w:rsidR="4A7CC396">
              <w:rPr>
                <w:color w:val="000000" w:themeColor="text1" w:themeTint="FF" w:themeShade="FF"/>
              </w:rPr>
              <w:t>0.1984</w:t>
            </w:r>
          </w:p>
        </w:tc>
        <w:tc>
          <w:tcPr>
            <w:tcW w:w="802" w:type="dxa"/>
            <w:tcMar>
              <w:left w:w="105" w:type="dxa"/>
              <w:right w:w="105" w:type="dxa"/>
            </w:tcMar>
            <w:vAlign w:val="center"/>
          </w:tcPr>
          <w:p w:rsidR="4A7CC396" w:rsidP="4A7CC396" w:rsidRDefault="4A7CC396" w14:paraId="04FB8D47" w14:textId="5E08DAE7">
            <w:pPr>
              <w:bidi w:val="0"/>
              <w:spacing w:before="0" w:beforeAutospacing="off" w:after="0" w:afterAutospacing="off"/>
            </w:pPr>
            <w:r w:rsidRPr="4A7CC396" w:rsidR="4A7CC396">
              <w:rPr>
                <w:color w:val="000000" w:themeColor="text1" w:themeTint="FF" w:themeShade="FF"/>
              </w:rPr>
              <w:t>0.1352</w:t>
            </w:r>
          </w:p>
        </w:tc>
        <w:tc>
          <w:tcPr>
            <w:tcW w:w="645" w:type="dxa"/>
            <w:tcMar>
              <w:left w:w="105" w:type="dxa"/>
              <w:right w:w="105" w:type="dxa"/>
            </w:tcMar>
            <w:vAlign w:val="center"/>
          </w:tcPr>
          <w:p w:rsidR="4A7CC396" w:rsidP="4A7CC396" w:rsidRDefault="4A7CC396" w14:paraId="578DEBF4" w14:textId="6ED57704">
            <w:pPr>
              <w:bidi w:val="0"/>
              <w:spacing w:before="0" w:beforeAutospacing="off" w:after="0" w:afterAutospacing="off"/>
            </w:pPr>
            <w:r w:rsidRPr="4A7CC396" w:rsidR="4A7CC396">
              <w:rPr>
                <w:color w:val="000000" w:themeColor="text1" w:themeTint="FF" w:themeShade="FF"/>
              </w:rPr>
              <w:t>0.4339</w:t>
            </w:r>
          </w:p>
        </w:tc>
        <w:tc>
          <w:tcPr>
            <w:tcW w:w="848" w:type="dxa"/>
            <w:tcMar>
              <w:left w:w="105" w:type="dxa"/>
              <w:right w:w="105" w:type="dxa"/>
            </w:tcMar>
            <w:vAlign w:val="center"/>
          </w:tcPr>
          <w:p w:rsidR="4A7CC396" w:rsidP="4A7CC396" w:rsidRDefault="4A7CC396" w14:paraId="1CDFA935" w14:textId="79858841">
            <w:pPr>
              <w:bidi w:val="0"/>
              <w:spacing w:before="0" w:beforeAutospacing="off" w:after="0" w:afterAutospacing="off"/>
            </w:pPr>
            <w:r w:rsidRPr="4A7CC396" w:rsidR="4A7CC396">
              <w:rPr>
                <w:color w:val="000000" w:themeColor="text1" w:themeTint="FF" w:themeShade="FF"/>
              </w:rPr>
              <w:t>85</w:t>
            </w:r>
          </w:p>
        </w:tc>
      </w:tr>
      <w:tr xmlns:wp14="http://schemas.microsoft.com/office/word/2010/wordml" w:rsidR="4C15D6E0" w:rsidTr="4A7CC396" w14:paraId="17749B65" wp14:textId="77777777">
        <w:trPr>
          <w:trHeight w:val="300"/>
        </w:trPr>
        <w:tc>
          <w:tcPr>
            <w:tcW w:w="960" w:type="dxa"/>
            <w:tcMar>
              <w:left w:w="105" w:type="dxa"/>
              <w:right w:w="105" w:type="dxa"/>
            </w:tcMar>
            <w:vAlign w:val="center"/>
          </w:tcPr>
          <w:p w:rsidR="4A7CC396" w:rsidP="4A7CC396" w:rsidRDefault="4A7CC396" w14:paraId="565999D1" w14:textId="1D5330B0">
            <w:pPr>
              <w:bidi w:val="0"/>
              <w:spacing w:before="0" w:beforeAutospacing="off" w:after="0" w:afterAutospacing="off"/>
            </w:pPr>
            <w:r w:rsidRPr="4A7CC396" w:rsidR="4A7CC396">
              <w:rPr>
                <w:color w:val="000000" w:themeColor="text1" w:themeTint="FF" w:themeShade="FF"/>
              </w:rPr>
              <w:t>DeptEduc_GPT_4.1</w:t>
            </w:r>
          </w:p>
        </w:tc>
        <w:tc>
          <w:tcPr>
            <w:tcW w:w="765" w:type="dxa"/>
            <w:tcMar>
              <w:left w:w="105" w:type="dxa"/>
              <w:right w:w="105" w:type="dxa"/>
            </w:tcMar>
            <w:vAlign w:val="center"/>
          </w:tcPr>
          <w:p w:rsidR="4A7CC396" w:rsidP="4A7CC396" w:rsidRDefault="4A7CC396" w14:paraId="0BCAE901" w14:textId="599F53BD">
            <w:pPr>
              <w:bidi w:val="0"/>
              <w:spacing w:before="0" w:beforeAutospacing="off" w:after="0" w:afterAutospacing="off"/>
            </w:pPr>
            <w:r w:rsidRPr="4A7CC396" w:rsidR="4A7CC396">
              <w:rPr>
                <w:color w:val="000000" w:themeColor="text1" w:themeTint="FF" w:themeShade="FF"/>
              </w:rPr>
              <w:t>0.1859</w:t>
            </w:r>
          </w:p>
        </w:tc>
        <w:tc>
          <w:tcPr>
            <w:tcW w:w="645" w:type="dxa"/>
            <w:tcMar>
              <w:left w:w="105" w:type="dxa"/>
              <w:right w:w="105" w:type="dxa"/>
            </w:tcMar>
            <w:vAlign w:val="center"/>
          </w:tcPr>
          <w:p w:rsidR="4A7CC396" w:rsidP="4A7CC396" w:rsidRDefault="4A7CC396" w14:paraId="5145D2AC" w14:textId="011F2DC8">
            <w:pPr>
              <w:bidi w:val="0"/>
              <w:spacing w:before="0" w:beforeAutospacing="off" w:after="0" w:afterAutospacing="off"/>
            </w:pPr>
            <w:r w:rsidRPr="4A7CC396" w:rsidR="4A7CC396">
              <w:rPr>
                <w:color w:val="000000" w:themeColor="text1" w:themeTint="FF" w:themeShade="FF"/>
              </w:rPr>
              <w:t>0.1908</w:t>
            </w:r>
          </w:p>
        </w:tc>
        <w:tc>
          <w:tcPr>
            <w:tcW w:w="802" w:type="dxa"/>
            <w:tcMar>
              <w:left w:w="105" w:type="dxa"/>
              <w:right w:w="105" w:type="dxa"/>
            </w:tcMar>
            <w:vAlign w:val="center"/>
          </w:tcPr>
          <w:p w:rsidR="4A7CC396" w:rsidP="4A7CC396" w:rsidRDefault="4A7CC396" w14:paraId="66692B5F" w14:textId="708D4F1C">
            <w:pPr>
              <w:bidi w:val="0"/>
              <w:spacing w:before="0" w:beforeAutospacing="off" w:after="0" w:afterAutospacing="off"/>
            </w:pPr>
            <w:r w:rsidRPr="4A7CC396" w:rsidR="4A7CC396">
              <w:rPr>
                <w:color w:val="000000" w:themeColor="text1" w:themeTint="FF" w:themeShade="FF"/>
              </w:rPr>
              <w:t>0.0981</w:t>
            </w:r>
          </w:p>
        </w:tc>
        <w:tc>
          <w:tcPr>
            <w:tcW w:w="645" w:type="dxa"/>
            <w:tcMar>
              <w:left w:w="105" w:type="dxa"/>
              <w:right w:w="105" w:type="dxa"/>
            </w:tcMar>
            <w:vAlign w:val="center"/>
          </w:tcPr>
          <w:p w:rsidR="4A7CC396" w:rsidP="4A7CC396" w:rsidRDefault="4A7CC396" w14:paraId="520AFB7B" w14:textId="1B780FDB">
            <w:pPr>
              <w:bidi w:val="0"/>
              <w:spacing w:before="0" w:beforeAutospacing="off" w:after="0" w:afterAutospacing="off"/>
            </w:pPr>
            <w:r w:rsidRPr="4A7CC396" w:rsidR="4A7CC396">
              <w:rPr>
                <w:color w:val="000000" w:themeColor="text1" w:themeTint="FF" w:themeShade="FF"/>
              </w:rPr>
              <w:t>0.4593</w:t>
            </w:r>
          </w:p>
        </w:tc>
        <w:tc>
          <w:tcPr>
            <w:tcW w:w="848" w:type="dxa"/>
            <w:tcMar>
              <w:left w:w="105" w:type="dxa"/>
              <w:right w:w="105" w:type="dxa"/>
            </w:tcMar>
            <w:vAlign w:val="center"/>
          </w:tcPr>
          <w:p w:rsidR="4A7CC396" w:rsidP="4A7CC396" w:rsidRDefault="4A7CC396" w14:paraId="1E841AC8" w14:textId="5AB41415">
            <w:pPr>
              <w:bidi w:val="0"/>
              <w:spacing w:before="0" w:beforeAutospacing="off" w:after="0" w:afterAutospacing="off"/>
            </w:pPr>
            <w:r w:rsidRPr="4A7CC396" w:rsidR="4A7CC396">
              <w:rPr>
                <w:color w:val="000000" w:themeColor="text1" w:themeTint="FF" w:themeShade="FF"/>
              </w:rPr>
              <w:t>26</w:t>
            </w:r>
          </w:p>
        </w:tc>
      </w:tr>
      <w:tr xmlns:wp14="http://schemas.microsoft.com/office/word/2010/wordml" w:rsidR="4C15D6E0" w:rsidTr="4A7CC396" w14:paraId="7F49BD6D" wp14:textId="77777777">
        <w:trPr>
          <w:trHeight w:val="300"/>
        </w:trPr>
        <w:tc>
          <w:tcPr>
            <w:tcW w:w="960" w:type="dxa"/>
            <w:tcMar>
              <w:left w:w="105" w:type="dxa"/>
              <w:right w:w="105" w:type="dxa"/>
            </w:tcMar>
            <w:vAlign w:val="center"/>
          </w:tcPr>
          <w:p w:rsidR="4A7CC396" w:rsidP="4A7CC396" w:rsidRDefault="4A7CC396" w14:paraId="6DC5EFD5" w14:textId="06ED9443">
            <w:pPr>
              <w:bidi w:val="0"/>
              <w:spacing w:before="0" w:beforeAutospacing="off" w:after="0" w:afterAutospacing="off"/>
            </w:pPr>
            <w:r w:rsidRPr="4A7CC396" w:rsidR="4A7CC396">
              <w:rPr>
                <w:color w:val="000000" w:themeColor="text1" w:themeTint="FF" w:themeShade="FF"/>
              </w:rPr>
              <w:t>DeptEduc_Llama_4_Mav</w:t>
            </w:r>
          </w:p>
        </w:tc>
        <w:tc>
          <w:tcPr>
            <w:tcW w:w="765" w:type="dxa"/>
            <w:tcMar>
              <w:left w:w="105" w:type="dxa"/>
              <w:right w:w="105" w:type="dxa"/>
            </w:tcMar>
            <w:vAlign w:val="center"/>
          </w:tcPr>
          <w:p w:rsidR="4A7CC396" w:rsidP="4A7CC396" w:rsidRDefault="4A7CC396" w14:paraId="3C1E6022" w14:textId="383DEE67">
            <w:pPr>
              <w:bidi w:val="0"/>
              <w:spacing w:before="0" w:beforeAutospacing="off" w:after="0" w:afterAutospacing="off"/>
            </w:pPr>
            <w:r w:rsidRPr="4A7CC396" w:rsidR="4A7CC396">
              <w:rPr>
                <w:color w:val="000000" w:themeColor="text1" w:themeTint="FF" w:themeShade="FF"/>
              </w:rPr>
              <w:t>0.1658</w:t>
            </w:r>
          </w:p>
        </w:tc>
        <w:tc>
          <w:tcPr>
            <w:tcW w:w="645" w:type="dxa"/>
            <w:tcMar>
              <w:left w:w="105" w:type="dxa"/>
              <w:right w:w="105" w:type="dxa"/>
            </w:tcMar>
            <w:vAlign w:val="center"/>
          </w:tcPr>
          <w:p w:rsidR="4A7CC396" w:rsidP="4A7CC396" w:rsidRDefault="4A7CC396" w14:paraId="27A46B55" w14:textId="1FE090E0">
            <w:pPr>
              <w:bidi w:val="0"/>
              <w:spacing w:before="0" w:beforeAutospacing="off" w:after="0" w:afterAutospacing="off"/>
            </w:pPr>
            <w:r w:rsidRPr="4A7CC396" w:rsidR="4A7CC396">
              <w:rPr>
                <w:color w:val="000000" w:themeColor="text1" w:themeTint="FF" w:themeShade="FF"/>
              </w:rPr>
              <w:t>0.1789</w:t>
            </w:r>
          </w:p>
        </w:tc>
        <w:tc>
          <w:tcPr>
            <w:tcW w:w="802" w:type="dxa"/>
            <w:tcMar>
              <w:left w:w="105" w:type="dxa"/>
              <w:right w:w="105" w:type="dxa"/>
            </w:tcMar>
            <w:vAlign w:val="center"/>
          </w:tcPr>
          <w:p w:rsidR="4A7CC396" w:rsidP="4A7CC396" w:rsidRDefault="4A7CC396" w14:paraId="62FDE022" w14:textId="53974C95">
            <w:pPr>
              <w:bidi w:val="0"/>
              <w:spacing w:before="0" w:beforeAutospacing="off" w:after="0" w:afterAutospacing="off"/>
            </w:pPr>
            <w:r w:rsidRPr="4A7CC396" w:rsidR="4A7CC396">
              <w:rPr>
                <w:color w:val="000000" w:themeColor="text1" w:themeTint="FF" w:themeShade="FF"/>
              </w:rPr>
              <w:t>0.1056</w:t>
            </w:r>
          </w:p>
        </w:tc>
        <w:tc>
          <w:tcPr>
            <w:tcW w:w="645" w:type="dxa"/>
            <w:tcMar>
              <w:left w:w="105" w:type="dxa"/>
              <w:right w:w="105" w:type="dxa"/>
            </w:tcMar>
            <w:vAlign w:val="center"/>
          </w:tcPr>
          <w:p w:rsidR="4A7CC396" w:rsidP="4A7CC396" w:rsidRDefault="4A7CC396" w14:paraId="701A924E" w14:textId="3114CBA5">
            <w:pPr>
              <w:bidi w:val="0"/>
              <w:spacing w:before="0" w:beforeAutospacing="off" w:after="0" w:afterAutospacing="off"/>
            </w:pPr>
            <w:r w:rsidRPr="4A7CC396" w:rsidR="4A7CC396">
              <w:rPr>
                <w:color w:val="000000" w:themeColor="text1" w:themeTint="FF" w:themeShade="FF"/>
              </w:rPr>
              <w:t>0.4449</w:t>
            </w:r>
          </w:p>
        </w:tc>
        <w:tc>
          <w:tcPr>
            <w:tcW w:w="848" w:type="dxa"/>
            <w:tcMar>
              <w:left w:w="105" w:type="dxa"/>
              <w:right w:w="105" w:type="dxa"/>
            </w:tcMar>
            <w:vAlign w:val="center"/>
          </w:tcPr>
          <w:p w:rsidR="4A7CC396" w:rsidP="4A7CC396" w:rsidRDefault="4A7CC396" w14:paraId="4017F737" w14:textId="2683DD3E">
            <w:pPr>
              <w:bidi w:val="0"/>
              <w:spacing w:before="0" w:beforeAutospacing="off" w:after="0" w:afterAutospacing="off"/>
            </w:pPr>
            <w:r w:rsidRPr="4A7CC396" w:rsidR="4A7CC396">
              <w:rPr>
                <w:color w:val="000000" w:themeColor="text1" w:themeTint="FF" w:themeShade="FF"/>
              </w:rPr>
              <w:t>26</w:t>
            </w:r>
          </w:p>
        </w:tc>
      </w:tr>
      <w:tr xmlns:wp14="http://schemas.microsoft.com/office/word/2010/wordml" w:rsidR="4C15D6E0" w:rsidTr="4A7CC396" w14:paraId="3A63E155" wp14:textId="77777777">
        <w:trPr>
          <w:trHeight w:val="300"/>
        </w:trPr>
        <w:tc>
          <w:tcPr>
            <w:tcW w:w="960" w:type="dxa"/>
            <w:tcMar>
              <w:left w:w="105" w:type="dxa"/>
              <w:right w:w="105" w:type="dxa"/>
            </w:tcMar>
            <w:vAlign w:val="center"/>
          </w:tcPr>
          <w:p w:rsidR="4A7CC396" w:rsidP="4A7CC396" w:rsidRDefault="4A7CC396" w14:paraId="0106E27B" w14:textId="02E3160C">
            <w:pPr>
              <w:bidi w:val="0"/>
              <w:spacing w:before="0" w:beforeAutospacing="off" w:after="0" w:afterAutospacing="off"/>
            </w:pPr>
            <w:r w:rsidRPr="4A7CC396" w:rsidR="4A7CC396">
              <w:rPr>
                <w:color w:val="000000" w:themeColor="text1" w:themeTint="FF" w:themeShade="FF"/>
                <w:lang w:val="en-US"/>
              </w:rPr>
              <w:t>Scott&amp;Scott_Anthrop</w:t>
            </w:r>
          </w:p>
        </w:tc>
        <w:tc>
          <w:tcPr>
            <w:tcW w:w="765" w:type="dxa"/>
            <w:tcMar>
              <w:left w:w="105" w:type="dxa"/>
              <w:right w:w="105" w:type="dxa"/>
            </w:tcMar>
            <w:vAlign w:val="center"/>
          </w:tcPr>
          <w:p w:rsidR="4A7CC396" w:rsidP="4A7CC396" w:rsidRDefault="4A7CC396" w14:paraId="4F72B150" w14:textId="0E6BDDD1">
            <w:pPr>
              <w:bidi w:val="0"/>
              <w:spacing w:before="0" w:beforeAutospacing="off" w:after="0" w:afterAutospacing="off"/>
            </w:pPr>
            <w:r w:rsidRPr="4A7CC396" w:rsidR="4A7CC396">
              <w:rPr>
                <w:color w:val="000000" w:themeColor="text1" w:themeTint="FF" w:themeShade="FF"/>
              </w:rPr>
              <w:t>0.1959</w:t>
            </w:r>
          </w:p>
        </w:tc>
        <w:tc>
          <w:tcPr>
            <w:tcW w:w="645" w:type="dxa"/>
            <w:tcMar>
              <w:left w:w="105" w:type="dxa"/>
              <w:right w:w="105" w:type="dxa"/>
            </w:tcMar>
            <w:vAlign w:val="center"/>
          </w:tcPr>
          <w:p w:rsidR="4A7CC396" w:rsidP="4A7CC396" w:rsidRDefault="4A7CC396" w14:paraId="3F3362FA" w14:textId="76901FF1">
            <w:pPr>
              <w:bidi w:val="0"/>
              <w:spacing w:before="0" w:beforeAutospacing="off" w:after="0" w:afterAutospacing="off"/>
            </w:pPr>
            <w:r w:rsidRPr="4A7CC396" w:rsidR="4A7CC396">
              <w:rPr>
                <w:color w:val="000000" w:themeColor="text1" w:themeTint="FF" w:themeShade="FF"/>
              </w:rPr>
              <w:t>0.1915</w:t>
            </w:r>
          </w:p>
        </w:tc>
        <w:tc>
          <w:tcPr>
            <w:tcW w:w="802" w:type="dxa"/>
            <w:tcMar>
              <w:left w:w="105" w:type="dxa"/>
              <w:right w:w="105" w:type="dxa"/>
            </w:tcMar>
            <w:vAlign w:val="center"/>
          </w:tcPr>
          <w:p w:rsidR="4A7CC396" w:rsidP="4A7CC396" w:rsidRDefault="4A7CC396" w14:paraId="7380BF45" w14:textId="2E663188">
            <w:pPr>
              <w:bidi w:val="0"/>
              <w:spacing w:before="0" w:beforeAutospacing="off" w:after="0" w:afterAutospacing="off"/>
            </w:pPr>
            <w:r w:rsidRPr="4A7CC396" w:rsidR="4A7CC396">
              <w:rPr>
                <w:color w:val="000000" w:themeColor="text1" w:themeTint="FF" w:themeShade="FF"/>
              </w:rPr>
              <w:t>0.1355</w:t>
            </w:r>
          </w:p>
        </w:tc>
        <w:tc>
          <w:tcPr>
            <w:tcW w:w="645" w:type="dxa"/>
            <w:tcMar>
              <w:left w:w="105" w:type="dxa"/>
              <w:right w:w="105" w:type="dxa"/>
            </w:tcMar>
            <w:vAlign w:val="center"/>
          </w:tcPr>
          <w:p w:rsidR="4A7CC396" w:rsidP="4A7CC396" w:rsidRDefault="4A7CC396" w14:paraId="51310343" w14:textId="74D3A842">
            <w:pPr>
              <w:bidi w:val="0"/>
              <w:spacing w:before="0" w:beforeAutospacing="off" w:after="0" w:afterAutospacing="off"/>
            </w:pPr>
            <w:r w:rsidRPr="4A7CC396" w:rsidR="4A7CC396">
              <w:rPr>
                <w:color w:val="000000" w:themeColor="text1" w:themeTint="FF" w:themeShade="FF"/>
              </w:rPr>
              <w:t>0.4170</w:t>
            </w:r>
          </w:p>
        </w:tc>
        <w:tc>
          <w:tcPr>
            <w:tcW w:w="848" w:type="dxa"/>
            <w:tcMar>
              <w:left w:w="105" w:type="dxa"/>
              <w:right w:w="105" w:type="dxa"/>
            </w:tcMar>
            <w:vAlign w:val="center"/>
          </w:tcPr>
          <w:p w:rsidR="4A7CC396" w:rsidP="4A7CC396" w:rsidRDefault="4A7CC396" w14:paraId="031E5A37" w14:textId="3D4507A0">
            <w:pPr>
              <w:bidi w:val="0"/>
              <w:spacing w:before="0" w:beforeAutospacing="off" w:after="0" w:afterAutospacing="off"/>
            </w:pPr>
            <w:r w:rsidRPr="4A7CC396" w:rsidR="4A7CC396">
              <w:rPr>
                <w:color w:val="000000" w:themeColor="text1" w:themeTint="FF" w:themeShade="FF"/>
              </w:rPr>
              <w:t>53</w:t>
            </w:r>
          </w:p>
        </w:tc>
      </w:tr>
      <w:tr xmlns:wp14="http://schemas.microsoft.com/office/word/2010/wordml" w:rsidR="4C15D6E0" w:rsidTr="4A7CC396" w14:paraId="7A8667EB" wp14:textId="77777777">
        <w:trPr>
          <w:trHeight w:val="300"/>
        </w:trPr>
        <w:tc>
          <w:tcPr>
            <w:tcW w:w="960" w:type="dxa"/>
            <w:tcMar>
              <w:left w:w="105" w:type="dxa"/>
              <w:right w:w="105" w:type="dxa"/>
            </w:tcMar>
            <w:vAlign w:val="center"/>
          </w:tcPr>
          <w:p w:rsidR="4A7CC396" w:rsidP="4A7CC396" w:rsidRDefault="4A7CC396" w14:paraId="72F2270A" w14:textId="07134080">
            <w:pPr>
              <w:bidi w:val="0"/>
              <w:spacing w:before="0" w:beforeAutospacing="off" w:after="0" w:afterAutospacing="off"/>
            </w:pPr>
            <w:r w:rsidRPr="4A7CC396" w:rsidR="4A7CC396">
              <w:rPr>
                <w:color w:val="000000" w:themeColor="text1" w:themeTint="FF" w:themeShade="FF"/>
              </w:rPr>
              <w:t>Scott&amp;Scott_GPT_4.1</w:t>
            </w:r>
          </w:p>
        </w:tc>
        <w:tc>
          <w:tcPr>
            <w:tcW w:w="765" w:type="dxa"/>
            <w:tcMar>
              <w:left w:w="105" w:type="dxa"/>
              <w:right w:w="105" w:type="dxa"/>
            </w:tcMar>
            <w:vAlign w:val="center"/>
          </w:tcPr>
          <w:p w:rsidR="4A7CC396" w:rsidP="4A7CC396" w:rsidRDefault="4A7CC396" w14:paraId="3ABEB19A" w14:textId="61E8730A">
            <w:pPr>
              <w:bidi w:val="0"/>
              <w:spacing w:before="0" w:beforeAutospacing="off" w:after="0" w:afterAutospacing="off"/>
            </w:pPr>
            <w:r w:rsidRPr="4A7CC396" w:rsidR="4A7CC396">
              <w:rPr>
                <w:color w:val="000000" w:themeColor="text1" w:themeTint="FF" w:themeShade="FF"/>
              </w:rPr>
              <w:t>0.2010</w:t>
            </w:r>
          </w:p>
        </w:tc>
        <w:tc>
          <w:tcPr>
            <w:tcW w:w="645" w:type="dxa"/>
            <w:tcMar>
              <w:left w:w="105" w:type="dxa"/>
              <w:right w:w="105" w:type="dxa"/>
            </w:tcMar>
            <w:vAlign w:val="center"/>
          </w:tcPr>
          <w:p w:rsidR="4A7CC396" w:rsidP="4A7CC396" w:rsidRDefault="4A7CC396" w14:paraId="5607BC1F" w14:textId="2A47DA60">
            <w:pPr>
              <w:bidi w:val="0"/>
              <w:spacing w:before="0" w:beforeAutospacing="off" w:after="0" w:afterAutospacing="off"/>
            </w:pPr>
            <w:r w:rsidRPr="4A7CC396" w:rsidR="4A7CC396">
              <w:rPr>
                <w:color w:val="000000" w:themeColor="text1" w:themeTint="FF" w:themeShade="FF"/>
              </w:rPr>
              <w:t>0.1989</w:t>
            </w:r>
          </w:p>
        </w:tc>
        <w:tc>
          <w:tcPr>
            <w:tcW w:w="802" w:type="dxa"/>
            <w:tcMar>
              <w:left w:w="105" w:type="dxa"/>
              <w:right w:w="105" w:type="dxa"/>
            </w:tcMar>
            <w:vAlign w:val="center"/>
          </w:tcPr>
          <w:p w:rsidR="4A7CC396" w:rsidP="4A7CC396" w:rsidRDefault="4A7CC396" w14:paraId="3409C46E" w14:textId="6A0AE662">
            <w:pPr>
              <w:bidi w:val="0"/>
              <w:spacing w:before="0" w:beforeAutospacing="off" w:after="0" w:afterAutospacing="off"/>
            </w:pPr>
            <w:r w:rsidRPr="4A7CC396" w:rsidR="4A7CC396">
              <w:rPr>
                <w:color w:val="000000" w:themeColor="text1" w:themeTint="FF" w:themeShade="FF"/>
              </w:rPr>
              <w:t>0.1439</w:t>
            </w:r>
          </w:p>
        </w:tc>
        <w:tc>
          <w:tcPr>
            <w:tcW w:w="645" w:type="dxa"/>
            <w:tcMar>
              <w:left w:w="105" w:type="dxa"/>
              <w:right w:w="105" w:type="dxa"/>
            </w:tcMar>
            <w:vAlign w:val="center"/>
          </w:tcPr>
          <w:p w:rsidR="4A7CC396" w:rsidP="4A7CC396" w:rsidRDefault="4A7CC396" w14:paraId="09A77AC4" w14:textId="5EA943AC">
            <w:pPr>
              <w:bidi w:val="0"/>
              <w:spacing w:before="0" w:beforeAutospacing="off" w:after="0" w:afterAutospacing="off"/>
            </w:pPr>
            <w:r w:rsidRPr="4A7CC396" w:rsidR="4A7CC396">
              <w:rPr>
                <w:color w:val="000000" w:themeColor="text1" w:themeTint="FF" w:themeShade="FF"/>
              </w:rPr>
              <w:t>0.4373</w:t>
            </w:r>
          </w:p>
        </w:tc>
        <w:tc>
          <w:tcPr>
            <w:tcW w:w="848" w:type="dxa"/>
            <w:tcMar>
              <w:left w:w="105" w:type="dxa"/>
              <w:right w:w="105" w:type="dxa"/>
            </w:tcMar>
            <w:vAlign w:val="center"/>
          </w:tcPr>
          <w:p w:rsidR="4A7CC396" w:rsidP="4A7CC396" w:rsidRDefault="4A7CC396" w14:paraId="33EBF7B0" w14:textId="4091EAC0">
            <w:pPr>
              <w:bidi w:val="0"/>
              <w:spacing w:before="0" w:beforeAutospacing="off" w:after="0" w:afterAutospacing="off"/>
            </w:pPr>
            <w:r w:rsidRPr="4A7CC396" w:rsidR="4A7CC396">
              <w:rPr>
                <w:color w:val="000000" w:themeColor="text1" w:themeTint="FF" w:themeShade="FF"/>
              </w:rPr>
              <w:t>17</w:t>
            </w:r>
          </w:p>
        </w:tc>
      </w:tr>
      <w:tr xmlns:wp14="http://schemas.microsoft.com/office/word/2010/wordml" w:rsidR="4C15D6E0" w:rsidTr="4A7CC396" w14:paraId="09B1C75F" wp14:textId="77777777">
        <w:trPr>
          <w:trHeight w:val="300"/>
        </w:trPr>
        <w:tc>
          <w:tcPr>
            <w:tcW w:w="960" w:type="dxa"/>
            <w:tcMar>
              <w:left w:w="105" w:type="dxa"/>
              <w:right w:w="105" w:type="dxa"/>
            </w:tcMar>
            <w:vAlign w:val="center"/>
          </w:tcPr>
          <w:p w:rsidR="4A7CC396" w:rsidP="4A7CC396" w:rsidRDefault="4A7CC396" w14:paraId="3A607774" w14:textId="3D5A231C">
            <w:pPr>
              <w:bidi w:val="0"/>
              <w:spacing w:before="0" w:beforeAutospacing="off" w:after="0" w:afterAutospacing="off"/>
            </w:pPr>
            <w:r w:rsidRPr="4A7CC396" w:rsidR="4A7CC396">
              <w:rPr>
                <w:color w:val="000000" w:themeColor="text1" w:themeTint="FF" w:themeShade="FF"/>
              </w:rPr>
              <w:t>Scott&amp;Scott_Llama_4_Mav</w:t>
            </w:r>
          </w:p>
        </w:tc>
        <w:tc>
          <w:tcPr>
            <w:tcW w:w="765" w:type="dxa"/>
            <w:tcMar>
              <w:left w:w="105" w:type="dxa"/>
              <w:right w:w="105" w:type="dxa"/>
            </w:tcMar>
            <w:vAlign w:val="center"/>
          </w:tcPr>
          <w:p w:rsidR="4A7CC396" w:rsidP="4A7CC396" w:rsidRDefault="4A7CC396" w14:paraId="325608E9" w14:textId="3DA8F6A5">
            <w:pPr>
              <w:bidi w:val="0"/>
              <w:spacing w:before="0" w:beforeAutospacing="off" w:after="0" w:afterAutospacing="off"/>
            </w:pPr>
            <w:r w:rsidRPr="4A7CC396" w:rsidR="4A7CC396">
              <w:rPr>
                <w:color w:val="000000" w:themeColor="text1" w:themeTint="FF" w:themeShade="FF"/>
              </w:rPr>
              <w:t>0.1507</w:t>
            </w:r>
          </w:p>
        </w:tc>
        <w:tc>
          <w:tcPr>
            <w:tcW w:w="645" w:type="dxa"/>
            <w:tcMar>
              <w:left w:w="105" w:type="dxa"/>
              <w:right w:w="105" w:type="dxa"/>
            </w:tcMar>
            <w:vAlign w:val="center"/>
          </w:tcPr>
          <w:p w:rsidR="4A7CC396" w:rsidP="4A7CC396" w:rsidRDefault="4A7CC396" w14:paraId="3751FD92" w14:textId="2DD13893">
            <w:pPr>
              <w:bidi w:val="0"/>
              <w:spacing w:before="0" w:beforeAutospacing="off" w:after="0" w:afterAutospacing="off"/>
            </w:pPr>
            <w:r w:rsidRPr="4A7CC396" w:rsidR="4A7CC396">
              <w:rPr>
                <w:color w:val="000000" w:themeColor="text1" w:themeTint="FF" w:themeShade="FF"/>
              </w:rPr>
              <w:t>0.1639</w:t>
            </w:r>
          </w:p>
        </w:tc>
        <w:tc>
          <w:tcPr>
            <w:tcW w:w="802" w:type="dxa"/>
            <w:tcMar>
              <w:left w:w="105" w:type="dxa"/>
              <w:right w:w="105" w:type="dxa"/>
            </w:tcMar>
            <w:vAlign w:val="center"/>
          </w:tcPr>
          <w:p w:rsidR="4A7CC396" w:rsidP="4A7CC396" w:rsidRDefault="4A7CC396" w14:paraId="236841C7" w14:textId="17F9AC66">
            <w:pPr>
              <w:bidi w:val="0"/>
              <w:spacing w:before="0" w:beforeAutospacing="off" w:after="0" w:afterAutospacing="off"/>
            </w:pPr>
            <w:r w:rsidRPr="4A7CC396" w:rsidR="4A7CC396">
              <w:rPr>
                <w:color w:val="000000" w:themeColor="text1" w:themeTint="FF" w:themeShade="FF"/>
              </w:rPr>
              <w:t>0.1077</w:t>
            </w:r>
          </w:p>
        </w:tc>
        <w:tc>
          <w:tcPr>
            <w:tcW w:w="645" w:type="dxa"/>
            <w:tcMar>
              <w:left w:w="105" w:type="dxa"/>
              <w:right w:w="105" w:type="dxa"/>
            </w:tcMar>
            <w:vAlign w:val="center"/>
          </w:tcPr>
          <w:p w:rsidR="4A7CC396" w:rsidP="4A7CC396" w:rsidRDefault="4A7CC396" w14:paraId="062DFCE3" w14:textId="7745E876">
            <w:pPr>
              <w:bidi w:val="0"/>
              <w:spacing w:before="0" w:beforeAutospacing="off" w:after="0" w:afterAutospacing="off"/>
            </w:pPr>
            <w:r w:rsidRPr="4A7CC396" w:rsidR="4A7CC396">
              <w:rPr>
                <w:color w:val="000000" w:themeColor="text1" w:themeTint="FF" w:themeShade="FF"/>
              </w:rPr>
              <w:t>0.4370</w:t>
            </w:r>
          </w:p>
        </w:tc>
        <w:tc>
          <w:tcPr>
            <w:tcW w:w="848" w:type="dxa"/>
            <w:tcMar>
              <w:left w:w="105" w:type="dxa"/>
              <w:right w:w="105" w:type="dxa"/>
            </w:tcMar>
            <w:vAlign w:val="center"/>
          </w:tcPr>
          <w:p w:rsidR="4A7CC396" w:rsidP="4A7CC396" w:rsidRDefault="4A7CC396" w14:paraId="49F8CE14" w14:textId="72C3B654">
            <w:pPr>
              <w:bidi w:val="0"/>
              <w:spacing w:before="0" w:beforeAutospacing="off" w:after="0" w:afterAutospacing="off"/>
            </w:pPr>
            <w:r w:rsidRPr="4A7CC396" w:rsidR="4A7CC396">
              <w:rPr>
                <w:color w:val="000000" w:themeColor="text1" w:themeTint="FF" w:themeShade="FF"/>
              </w:rPr>
              <w:t>20</w:t>
            </w:r>
          </w:p>
        </w:tc>
      </w:tr>
    </w:tbl>
    <w:p w:rsidR="4E5A7D5C" w:rsidP="4A7CC396" w:rsidRDefault="4E5A7D5C" w14:paraId="7B88D30C" w14:textId="5D7D77E6">
      <w:pPr>
        <w:bidi w:val="0"/>
        <w:spacing w:before="240" w:beforeAutospacing="off" w:after="0" w:afterAutospacing="off"/>
        <w:jc w:val="both"/>
      </w:pPr>
      <w:r w:rsidRPr="4A7CC396" w:rsidR="4E5A7D5C">
        <w:rPr>
          <w:rFonts w:ascii="Aptos" w:hAnsi="Aptos" w:eastAsia="Aptos" w:cs="Aptos"/>
          <w:noProof w:val="0"/>
          <w:color w:val="000000" w:themeColor="text1" w:themeTint="FF" w:themeShade="FF"/>
          <w:sz w:val="20"/>
          <w:szCs w:val="20"/>
          <w:lang w:val="en-US"/>
        </w:rPr>
        <w:t>The deterministic audit produced an Overall Hallucination Percentage tightly clustered between 15.1% and 20.1% across all six runs, closely matching the 12% to 25% range typically reported by the LLM-as-judge approach described above. This convergence indicates that the deterministic NLI pipeline is correctly validating paraphrased, faithful output rather than imposing an artificial strictness penalty on reworded but accurate text. Companion metrics reinforce this reading: Direct Contradiction Probability remained low across all runs at 9.8% to 14.4%, and Semantic Drift Risk stayed tightly bounded between 0.4170 and 0.4593, indicating that all models maintained strong macro-level topic alignment. Hallucinations that do occur are concentrated almost entirely at the micro-factual and entity level rather than through direct logical contradictions of source text.</w:t>
      </w:r>
    </w:p>
    <w:p w:rsidR="4E5A7D5C" w:rsidP="4A7CC396" w:rsidRDefault="4E5A7D5C" w14:paraId="413A2E9D" w14:textId="0751AA93">
      <w:pPr>
        <w:bidi w:val="0"/>
        <w:spacing w:before="0" w:beforeAutospacing="off" w:after="0" w:afterAutospacing="off"/>
        <w:jc w:val="both"/>
      </w:pPr>
      <w:r w:rsidRPr="4A7CC396" w:rsidR="4E5A7D5C">
        <w:rPr>
          <w:rFonts w:ascii="Aptos" w:hAnsi="Aptos" w:eastAsia="Aptos" w:cs="Aptos"/>
          <w:noProof w:val="0"/>
          <w:color w:val="000000" w:themeColor="text1" w:themeTint="FF" w:themeShade="FF"/>
          <w:sz w:val="20"/>
          <w:szCs w:val="20"/>
          <w:lang w:val="en-US"/>
        </w:rPr>
        <w:t>Claude produced 3.2 to 3.8 times more fabricated entities than GPT-4.1 and Llama 4 Maverick, with 85 fabricated entities in the Department of Education run and 53 in the Scott and Scott run, compared to 17 to 26 for the other models. This indicates that while Claude provides more detailed outputs, it exhibits a higher rate of ungrounded entity generation, introducing specific names, terms, or identifiers not present in the source text. This can be mitigated by an upstream NER or regex entity filter that strips over-specified technical jargon before the output is presented to the analyst. Document type produced no significant divergence in model behavior: the dense, regulatory Department of Education policy yielded a Direct Contradiction Probability of 9.8% to 13.5% and an Unfaithfulness Risk of 17.9% to 19.8%, closely mirroring the looser, corporate Scott and Scott document at 10.8% to 14.4% and 16.4% to 19.9% respectively. This uniformity indicates that model behavior remained stable regardless of whether the underlying policy text was strict and regulatory or comparatively informal.</w:t>
      </w:r>
    </w:p>
    <w:p w:rsidR="4E5A7D5C" w:rsidP="4A7CC396" w:rsidRDefault="4E5A7D5C" w14:paraId="6AB7CB87" w14:textId="2E5A9D3F">
      <w:pPr>
        <w:bidi w:val="0"/>
        <w:spacing w:before="0" w:beforeAutospacing="off" w:after="0" w:afterAutospacing="off"/>
        <w:jc w:val="both"/>
      </w:pPr>
      <w:r w:rsidRPr="4A7CC396" w:rsidR="4E5A7D5C">
        <w:rPr>
          <w:rFonts w:ascii="Aptos" w:hAnsi="Aptos" w:eastAsia="Aptos" w:cs="Aptos"/>
          <w:noProof w:val="0"/>
          <w:color w:val="000000" w:themeColor="text1" w:themeTint="FF" w:themeShade="FF"/>
          <w:sz w:val="20"/>
          <w:szCs w:val="20"/>
          <w:lang w:val="en-US"/>
        </w:rPr>
        <w:t xml:space="preserve">These findings reinforce the architectural necessity of the human review checkpoint in GRC-LLM. No automated pipeline fully </w:t>
      </w:r>
      <w:r w:rsidRPr="4A7CC396" w:rsidR="4E5A7D5C">
        <w:rPr>
          <w:rFonts w:ascii="Aptos" w:hAnsi="Aptos" w:eastAsia="Aptos" w:cs="Aptos"/>
          <w:noProof w:val="0"/>
          <w:color w:val="000000" w:themeColor="text1" w:themeTint="FF" w:themeShade="FF"/>
          <w:sz w:val="20"/>
          <w:szCs w:val="20"/>
          <w:lang w:val="en-US"/>
        </w:rPr>
        <w:t>eliminates</w:t>
      </w:r>
      <w:r w:rsidRPr="4A7CC396" w:rsidR="4E5A7D5C">
        <w:rPr>
          <w:rFonts w:ascii="Aptos" w:hAnsi="Aptos" w:eastAsia="Aptos" w:cs="Aptos"/>
          <w:noProof w:val="0"/>
          <w:color w:val="000000" w:themeColor="text1" w:themeTint="FF" w:themeShade="FF"/>
          <w:sz w:val="20"/>
          <w:szCs w:val="20"/>
          <w:lang w:val="en-US"/>
        </w:rPr>
        <w:t xml:space="preserve"> the risk of ungrounded claims in compliance-sensitive assessment outputs, and the combination of LLM-as-judge evaluation and deterministic auditing provides a more complete picture of model reliability than either approach alone.</w:t>
      </w:r>
    </w:p>
    <w:p xmlns:wp14="http://schemas.microsoft.com/office/word/2010/wordml" w:rsidRDefault="00000000" w14:paraId="0000003D" wp14:textId="77777777">
      <w:pPr>
        <w:pStyle w:val="Heading1"/>
        <w:rPr/>
      </w:pPr>
      <w:r w:rsidR="1AC55103">
        <w:rPr/>
        <w:t>Conclusion</w:t>
      </w:r>
    </w:p>
    <w:p w:rsidR="0565DBCB" w:rsidP="4A7CC396" w:rsidRDefault="0565DBCB" w14:paraId="5DED8EA2" w14:textId="15D5251B">
      <w:pPr>
        <w:spacing w:before="0" w:beforeAutospacing="off" w:after="0" w:afterAutospacing="off"/>
        <w:jc w:val="both"/>
        <w:rPr>
          <w:rFonts w:ascii="Aptos" w:hAnsi="Aptos" w:eastAsia="Aptos" w:cs="Aptos"/>
          <w:noProof w:val="0"/>
          <w:color w:val="000000" w:themeColor="text1" w:themeTint="FF" w:themeShade="FF"/>
          <w:sz w:val="20"/>
          <w:szCs w:val="20"/>
          <w:lang w:val="en-US"/>
        </w:rPr>
      </w:pPr>
      <w:r w:rsidRPr="4A7CC396" w:rsidR="0565DBCB">
        <w:rPr>
          <w:rFonts w:ascii="Aptos" w:hAnsi="Aptos" w:eastAsia="Aptos" w:cs="Aptos"/>
          <w:noProof w:val="0"/>
          <w:color w:val="000000" w:themeColor="text1" w:themeTint="FF" w:themeShade="FF"/>
          <w:sz w:val="20"/>
          <w:szCs w:val="20"/>
          <w:lang w:val="en-US"/>
        </w:rPr>
        <w:t>The literature surveyed in this paper converges on a consistent set of conclusions that together define both the opportunity and the obligation for GRC-LLM. Automated GRC workflows are no longer an optimization, they are a structural necessity for organizations operating under multi-framework compliance obligations that exceed the capacity of manual assessment processes. LLMs have matured to the point where semantic policy analysis is not only feasible but demonstrably superior to the pattern-matching approaches that dominate existing tooling. RAG architectures have addressed the most acute reliability concerns by grounding model reasoning in submitted evidence rather than training assumptions. The literature on explainability and HITL design has produced clear architectural guidance: confidence-gated human review, traceable justifications, and mandatory analyst sign-off are not optional safeguards but prerequisites for responsible deployment in regulated, consequential domains.</w:t>
      </w:r>
    </w:p>
    <w:p w:rsidR="0565DBCB" w:rsidP="4A7CC396" w:rsidRDefault="0565DBCB" w14:paraId="5C683D5E" w14:textId="490CD3BB">
      <w:pPr>
        <w:jc w:val="both"/>
        <w:rPr>
          <w:rFonts w:ascii="Aptos" w:hAnsi="Aptos" w:eastAsia="Aptos" w:cs="Aptos"/>
          <w:noProof w:val="0"/>
          <w:color w:val="000000" w:themeColor="text1" w:themeTint="FF" w:themeShade="FF"/>
          <w:sz w:val="20"/>
          <w:szCs w:val="20"/>
          <w:lang w:val="en-US"/>
        </w:rPr>
      </w:pPr>
      <w:r w:rsidRPr="4A7CC396" w:rsidR="0565DBCB">
        <w:rPr>
          <w:rFonts w:ascii="Aptos" w:hAnsi="Aptos" w:eastAsia="Aptos" w:cs="Aptos"/>
          <w:noProof w:val="0"/>
          <w:color w:val="000000" w:themeColor="text1" w:themeTint="FF" w:themeShade="FF"/>
          <w:sz w:val="20"/>
          <w:szCs w:val="20"/>
          <w:lang w:val="en-US"/>
        </w:rPr>
        <w:t xml:space="preserve">GRC-LLM is the applied synthesis of these findings, implemented as a working proof of concept that assembles multi-framework assessment, RAG grounded semantic policy analysis, structured JSON outputs, and embedded human review into a single auditable pipeline. Each architectural decision, from the </w:t>
      </w:r>
      <w:r w:rsidRPr="4A7CC396" w:rsidR="0565DBCB">
        <w:rPr>
          <w:rFonts w:ascii="Aptos" w:hAnsi="Aptos" w:eastAsia="Aptos" w:cs="Aptos"/>
          <w:noProof w:val="0"/>
          <w:color w:val="000000" w:themeColor="text1" w:themeTint="FF" w:themeShade="FF"/>
          <w:sz w:val="20"/>
          <w:szCs w:val="20"/>
          <w:lang w:val="en-US"/>
        </w:rPr>
        <w:t>ChromaDB</w:t>
      </w:r>
      <w:r w:rsidRPr="4A7CC396" w:rsidR="0565DBCB">
        <w:rPr>
          <w:rFonts w:ascii="Aptos" w:hAnsi="Aptos" w:eastAsia="Aptos" w:cs="Aptos"/>
          <w:noProof w:val="0"/>
          <w:color w:val="000000" w:themeColor="text1" w:themeTint="FF" w:themeShade="FF"/>
          <w:sz w:val="20"/>
          <w:szCs w:val="20"/>
          <w:lang w:val="en-US"/>
        </w:rPr>
        <w:t xml:space="preserve"> retrieval pipeline to the confidence thresholding mechanism to the analyst review interface, traces directly to findings in this literature. </w:t>
      </w:r>
      <w:r w:rsidRPr="4A7CC396" w:rsidR="556035D5">
        <w:rPr>
          <w:rFonts w:ascii="Aptos" w:hAnsi="Aptos" w:eastAsia="Aptos" w:cs="Aptos"/>
          <w:noProof w:val="0"/>
          <w:color w:val="000000" w:themeColor="text1" w:themeTint="FF" w:themeShade="FF"/>
          <w:sz w:val="20"/>
          <w:szCs w:val="20"/>
          <w:lang w:val="en-US"/>
        </w:rPr>
        <w:t>The system has demonstrated</w:t>
      </w:r>
      <w:r w:rsidRPr="4A7CC396" w:rsidR="556035D5">
        <w:rPr>
          <w:rFonts w:ascii="Aptos" w:hAnsi="Aptos" w:eastAsia="Aptos" w:cs="Aptos"/>
          <w:noProof w:val="0"/>
          <w:color w:val="000000" w:themeColor="text1" w:themeTint="FF" w:themeShade="FF"/>
          <w:sz w:val="20"/>
          <w:szCs w:val="20"/>
          <w:lang w:val="en-US"/>
        </w:rPr>
        <w:t xml:space="preserve"> practical capability on real organizational security policy documents, with Claude achieving an overall RAG quality score of 0.842 on the Scott and Scott policy and 0.831 on the U.S. Department of Education policy across nine frameworks and 199 controls per dataset, with Evidence </w:t>
      </w:r>
      <w:r w:rsidRPr="4A7CC396" w:rsidR="556035D5">
        <w:rPr>
          <w:rFonts w:ascii="Aptos" w:hAnsi="Aptos" w:eastAsia="Aptos" w:cs="Aptos"/>
          <w:noProof w:val="0"/>
          <w:color w:val="000000" w:themeColor="text1" w:themeTint="FF" w:themeShade="FF"/>
          <w:sz w:val="20"/>
          <w:szCs w:val="20"/>
          <w:lang w:val="en-US"/>
        </w:rPr>
        <w:t>Groundedness</w:t>
      </w:r>
      <w:r w:rsidRPr="4A7CC396" w:rsidR="556035D5">
        <w:rPr>
          <w:rFonts w:ascii="Aptos" w:hAnsi="Aptos" w:eastAsia="Aptos" w:cs="Aptos"/>
          <w:noProof w:val="0"/>
          <w:color w:val="000000" w:themeColor="text1" w:themeTint="FF" w:themeShade="FF"/>
          <w:sz w:val="20"/>
          <w:szCs w:val="20"/>
          <w:lang w:val="en-US"/>
        </w:rPr>
        <w:t xml:space="preserve"> of 1.000 and 0.997 respectively, indicating that nearly all cited evidence excerpts could be located in the submitted source documents. This result verifies citation presence but does not independently </w:t>
      </w:r>
      <w:r w:rsidRPr="4A7CC396" w:rsidR="556035D5">
        <w:rPr>
          <w:rFonts w:ascii="Aptos" w:hAnsi="Aptos" w:eastAsia="Aptos" w:cs="Aptos"/>
          <w:noProof w:val="0"/>
          <w:color w:val="000000" w:themeColor="text1" w:themeTint="FF" w:themeShade="FF"/>
          <w:sz w:val="20"/>
          <w:szCs w:val="20"/>
          <w:lang w:val="en-US"/>
        </w:rPr>
        <w:t>establish</w:t>
      </w:r>
      <w:r w:rsidRPr="4A7CC396" w:rsidR="556035D5">
        <w:rPr>
          <w:rFonts w:ascii="Aptos" w:hAnsi="Aptos" w:eastAsia="Aptos" w:cs="Aptos"/>
          <w:noProof w:val="0"/>
          <w:color w:val="000000" w:themeColor="text1" w:themeTint="FF" w:themeShade="FF"/>
          <w:sz w:val="20"/>
          <w:szCs w:val="20"/>
          <w:lang w:val="en-US"/>
        </w:rPr>
        <w:t xml:space="preserve"> the correctness of the associated rationale, maturity score, or compliance conclusion. </w:t>
      </w:r>
      <w:r w:rsidRPr="4A7CC396" w:rsidR="0565DBCB">
        <w:rPr>
          <w:rFonts w:ascii="Aptos" w:hAnsi="Aptos" w:eastAsia="Aptos" w:cs="Aptos"/>
          <w:noProof w:val="0"/>
          <w:color w:val="000000" w:themeColor="text1" w:themeTint="FF" w:themeShade="FF"/>
          <w:sz w:val="20"/>
          <w:szCs w:val="20"/>
          <w:lang w:val="en-US"/>
        </w:rPr>
        <w:t>The deterministic hallucination audit further supports this result, converging on an Overall Hallucination Percentage of 15.1% to 20.1% that closely matches the LLM-as-judge findings, while a comparative analysis across private- and public-sector policy documentation found only a minimal organizational difference of Δ = 0.02 across all nine frameworks, suggesting that GRC-LLM's assessments remain consistent regardless of sector-specific policy style.</w:t>
      </w:r>
    </w:p>
    <w:p w:rsidR="0565DBCB" w:rsidP="4A7CC396" w:rsidRDefault="0565DBCB" w14:paraId="03F78E4A" w14:textId="29D6C681">
      <w:pPr>
        <w:spacing w:before="0" w:beforeAutospacing="off" w:after="0" w:afterAutospacing="off"/>
        <w:jc w:val="both"/>
        <w:rPr>
          <w:rFonts w:ascii="Aptos" w:hAnsi="Aptos" w:eastAsia="Aptos" w:cs="Aptos"/>
          <w:noProof w:val="0"/>
          <w:color w:val="000000" w:themeColor="text1" w:themeTint="FF" w:themeShade="FF"/>
          <w:sz w:val="20"/>
          <w:szCs w:val="20"/>
          <w:lang w:val="en-US"/>
        </w:rPr>
      </w:pPr>
      <w:r w:rsidRPr="4A7CC396" w:rsidR="0565DBCB">
        <w:rPr>
          <w:rFonts w:ascii="Aptos" w:hAnsi="Aptos" w:eastAsia="Aptos" w:cs="Aptos"/>
          <w:noProof w:val="0"/>
          <w:color w:val="000000" w:themeColor="text1" w:themeTint="FF" w:themeShade="FF"/>
          <w:sz w:val="20"/>
          <w:szCs w:val="20"/>
          <w:lang w:val="en-US"/>
        </w:rPr>
        <w:t>Several directions remain for future development. Future work should expand the comparison to additional model families, including Gemini and DeepSeek, as well as newer versions of the currently evaluated architectures. Streamlining framework redundancy across overlapping controls would improve efficiency for organizations assessed against multiple frameworks simultaneously. Enhancing model validation metrics including recall, accuracy, precision, and F1 would strengthen the empirical basis for evaluating system performance. Integrating GRC-LLM into broader GRC assessment workflows would further support continuous security posture improvement and calibration over time. Expert-labeled control assessments should be developed to support calculation of accuracy, precision, recall, and F1 score and to validate whether conservative maturity scoring corresponds to greater assessment correctness.</w:t>
      </w:r>
    </w:p>
    <w:p w:rsidR="0565DBCB" w:rsidP="4A7CC396" w:rsidRDefault="0565DBCB" w14:paraId="03F69CD4" w14:textId="724968D9">
      <w:pPr>
        <w:spacing w:before="0" w:beforeAutospacing="off" w:after="0" w:afterAutospacing="off"/>
        <w:jc w:val="both"/>
        <w:rPr>
          <w:rFonts w:ascii="Aptos" w:hAnsi="Aptos" w:eastAsia="Aptos" w:cs="Aptos"/>
          <w:noProof w:val="0"/>
          <w:color w:val="000000" w:themeColor="text1" w:themeTint="FF" w:themeShade="FF"/>
          <w:sz w:val="20"/>
          <w:szCs w:val="20"/>
          <w:lang w:val="en-US"/>
        </w:rPr>
      </w:pPr>
      <w:r w:rsidRPr="4A7CC396" w:rsidR="0565DBCB">
        <w:rPr>
          <w:rFonts w:ascii="Aptos" w:hAnsi="Aptos" w:eastAsia="Aptos" w:cs="Aptos"/>
          <w:noProof w:val="0"/>
          <w:color w:val="000000" w:themeColor="text1" w:themeTint="FF" w:themeShade="FF"/>
          <w:sz w:val="20"/>
          <w:szCs w:val="20"/>
          <w:lang w:val="en-US"/>
        </w:rPr>
        <w:t>GRC-LLM is released under an MIT license at github.com/revo23/GRC-LLM, making it, to the authors' knowledge, the first open-source tool to combine multi-framework coverage, RAG grounded semantic assessment, and embedded human review within a single auditable pipeline.</w:t>
      </w:r>
    </w:p>
    <w:p xmlns:wp14="http://schemas.microsoft.com/office/word/2010/wordml" w:rsidRDefault="00000000" w14:paraId="00000042" wp14:textId="77777777">
      <w:pPr>
        <w:pStyle w:val="Heading1"/>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t xml:space="preserve">References</w:t>
      </w:r>
      <w:r>
        <w:rPr>
          <w:rtl w:val="0"/>
        </w:rPr>
      </w:r>
    </w:p>
    <w:p xmlns:wp14="http://schemas.microsoft.com/office/word/2010/wordml" w:rsidRDefault="00000000" w14:paraId="00000043" wp14:textId="77777777">
      <w:pPr>
        <w:pStyle w:val="Heading3"/>
      </w:pPr>
      <w:r w:rsidRPr="527F28B2" w:rsidR="527F28B2">
        <w:rPr>
          <w:lang w:val="en-US"/>
        </w:rPr>
        <w:t xml:space="preserve">[1] Coalfire, "The state of cybersecurity compliance in 2023: Part 1," Coalfire Blog, 2023.</w:t>
      </w:r>
      <w:r>
        <w:rPr>
          <w:rtl w:val="0"/>
        </w:rPr>
      </w:r>
    </w:p>
    <w:p xmlns:wp14="http://schemas.microsoft.com/office/word/2010/wordml" w:rsidRDefault="00000000" w14:paraId="00000044" wp14:textId="77777777">
      <w:pPr>
        <w:pStyle w:val="Heading3"/>
        <w:rPr/>
      </w:pPr>
      <w:r>
        <w:rPr>
          <w:rtl w:val="0"/>
        </w:rPr>
      </w:r>
    </w:p>
    <w:p xmlns:wp14="http://schemas.microsoft.com/office/word/2010/wordml" w:rsidRDefault="00000000" w14:paraId="00000045" wp14:textId="77777777">
      <w:pPr>
        <w:pStyle w:val="Heading3"/>
        <w:rPr/>
      </w:pPr>
      <w:r>
        <w:rPr>
          <w:rtl w:val="0"/>
        </w:rPr>
        <w:t xml:space="preserve">[2] </w:t>
      </w:r>
      <w:r>
        <w:rPr>
          <w:rtl w:val="0"/>
        </w:rPr>
        <w:t xml:space="preserve">ISC2, "ISC2 cybersecurity workforce study 2024," ISC2, 2024.</w:t>
      </w:r>
      <w:r>
        <w:rPr>
          <w:rtl w:val="0"/>
        </w:rPr>
      </w:r>
    </w:p>
    <w:p xmlns:wp14="http://schemas.microsoft.com/office/word/2010/wordml" w:rsidRDefault="00000000" w14:paraId="00000046" wp14:textId="77777777">
      <w:pPr>
        <w:pStyle w:val="Heading3"/>
        <w:rPr/>
      </w:pPr>
      <w:r>
        <w:rPr>
          <w:rtl w:val="0"/>
        </w:rPr>
      </w:r>
    </w:p>
    <w:p xmlns:wp14="http://schemas.microsoft.com/office/word/2010/wordml" w:rsidRDefault="00000000" w14:paraId="00000047" wp14:textId="77777777">
      <w:pPr>
        <w:pStyle w:val="Heading3"/>
        <w:rPr/>
      </w:pPr>
      <w:r>
        <w:rPr>
          <w:rtl w:val="0"/>
        </w:rPr>
        <w:t xml:space="preserve">[3] </w:t>
      </w:r>
      <w:r>
        <w:rPr>
          <w:rtl w:val="0"/>
        </w:rPr>
        <w:t xml:space="preserve">Allianz Commercial, "Allianz Risk Barometer 2024: Identifying the major business risks for 2024," Allianz Global Corporate and Specialty, 2024.</w:t>
      </w:r>
      <w:r>
        <w:rPr>
          <w:rtl w:val="0"/>
        </w:rPr>
      </w:r>
    </w:p>
    <w:p xmlns:wp14="http://schemas.microsoft.com/office/word/2010/wordml" w:rsidRDefault="00000000" w14:paraId="00000048" wp14:textId="77777777">
      <w:pPr>
        <w:pStyle w:val="Heading3"/>
        <w:rPr/>
      </w:pPr>
      <w:r>
        <w:rPr>
          <w:rtl w:val="0"/>
        </w:rPr>
      </w:r>
    </w:p>
    <w:p xmlns:wp14="http://schemas.microsoft.com/office/word/2010/wordml" w:rsidRDefault="00000000" w14:paraId="00000049" wp14:textId="77777777">
      <w:pPr>
        <w:pStyle w:val="Heading3"/>
      </w:pPr>
      <w:r w:rsidRPr="527F28B2" w:rsidR="527F28B2">
        <w:rPr>
          <w:lang w:val="en-US"/>
        </w:rPr>
        <w:t xml:space="preserve">[4] </w:t>
      </w:r>
      <w:r w:rsidRPr="527F28B2" w:rsidR="527F28B2">
        <w:rPr>
          <w:lang w:val="en-US"/>
        </w:rPr>
        <w:t xml:space="preserve">Drata, "2023 Compliance Trends Report," Drata Inc., 2023.</w:t>
      </w:r>
      <w:r>
        <w:rPr>
          <w:rtl w:val="0"/>
        </w:rPr>
      </w:r>
    </w:p>
    <w:p xmlns:wp14="http://schemas.microsoft.com/office/word/2010/wordml" w:rsidRDefault="00000000" w14:paraId="0000004A" wp14:textId="77777777">
      <w:pPr>
        <w:pStyle w:val="Heading3"/>
        <w:rPr/>
      </w:pPr>
      <w:r>
        <w:rPr>
          <w:rtl w:val="0"/>
        </w:rPr>
      </w:r>
    </w:p>
    <w:p xmlns:wp14="http://schemas.microsoft.com/office/word/2010/wordml" w:rsidRDefault="00000000" w14:paraId="0000004B" wp14:textId="77777777">
      <w:pPr>
        <w:pStyle w:val="Heading3"/>
      </w:pPr>
      <w:r w:rsidRPr="527F28B2" w:rsidR="527F28B2">
        <w:rPr>
          <w:lang w:val="en-US"/>
        </w:rPr>
        <w:t xml:space="preserve">[5] </w:t>
      </w:r>
      <w:r w:rsidRPr="527F28B2" w:rsidR="527F28B2">
        <w:rPr>
          <w:lang w:val="en-US"/>
        </w:rPr>
        <w:t xml:space="preserve">IBM Security, "Cost of a data breach report 2024," IBM Corporation, conducted by Ponemon Institute, 2024.</w:t>
      </w:r>
      <w:r>
        <w:rPr>
          <w:rtl w:val="0"/>
        </w:rPr>
      </w:r>
    </w:p>
    <w:p xmlns:wp14="http://schemas.microsoft.com/office/word/2010/wordml" w:rsidRDefault="00000000" w14:paraId="0000004C" wp14:textId="77777777">
      <w:pPr>
        <w:pStyle w:val="Heading3"/>
        <w:rPr/>
      </w:pPr>
      <w:r>
        <w:rPr>
          <w:rtl w:val="0"/>
        </w:rPr>
      </w:r>
    </w:p>
    <w:p xmlns:wp14="http://schemas.microsoft.com/office/word/2010/wordml" w:rsidRDefault="00000000" w14:paraId="0000004D" wp14:textId="77777777">
      <w:pPr>
        <w:pStyle w:val="Heading3"/>
      </w:pPr>
      <w:r w:rsidRPr="527F28B2" w:rsidR="527F28B2">
        <w:rPr>
          <w:lang w:val="en-US"/>
        </w:rPr>
        <w:t xml:space="preserve">[6] A. Marotta and S. Madnick, “Convergence and divergence of regulatory compliance and cybersecurity,” </w:t>
      </w:r>
      <w:r w:rsidRPr="527F28B2" w:rsidR="527F28B2">
        <w:rPr>
          <w:i w:val="1"/>
          <w:iCs w:val="1"/>
          <w:lang w:val="en-US"/>
        </w:rPr>
        <w:t>Issues in Information Systems</w:t>
      </w:r>
      <w:r w:rsidRPr="527F28B2" w:rsidR="527F28B2">
        <w:rPr>
          <w:lang w:val="en-US"/>
        </w:rPr>
        <w:t xml:space="preserve">, vol. 22, no. 1, pp. 10–50, 2021, doi: 10.48009/1_iis_2021_10-50. </w:t>
      </w:r>
    </w:p>
    <w:p xmlns:wp14="http://schemas.microsoft.com/office/word/2010/wordml" w:rsidRDefault="00000000" w14:paraId="0000004E" wp14:textId="77777777">
      <w:pPr>
        <w:pStyle w:val="Heading3"/>
        <w:rPr/>
      </w:pPr>
      <w:r>
        <w:rPr>
          <w:rtl w:val="0"/>
        </w:rPr>
      </w:r>
    </w:p>
    <w:p xmlns:wp14="http://schemas.microsoft.com/office/word/2010/wordml" w:rsidRDefault="00000000" w14:paraId="0000004F" wp14:textId="77777777">
      <w:pPr>
        <w:pStyle w:val="Heading3"/>
        <w:rPr/>
      </w:pPr>
      <w:r>
        <w:rPr>
          <w:rtl w:val="0"/>
        </w:rPr>
        <w:t xml:space="preserve">[7] </w:t>
      </w:r>
      <w:r>
        <w:rPr>
          <w:rtl w:val="0"/>
        </w:rPr>
        <w:t xml:space="preserve">V. P. Pinninti, "Automating governance, risk, and compliance in cloud computing: A case study on ServiceNow and NIST framework integration," ResearchGate, 2025.</w:t>
      </w:r>
    </w:p>
    <w:p xmlns:wp14="http://schemas.microsoft.com/office/word/2010/wordml" w:rsidRDefault="00000000" w14:paraId="00000050" wp14:textId="77777777">
      <w:pPr>
        <w:rPr/>
      </w:pPr>
      <w:r>
        <w:rPr>
          <w:rtl w:val="0"/>
        </w:rPr>
      </w:r>
    </w:p>
    <w:p xmlns:wp14="http://schemas.microsoft.com/office/word/2010/wordml" w:rsidRDefault="00000000" w14:paraId="00000051" wp14:textId="77777777">
      <w:pPr>
        <w:pStyle w:val="Heading3"/>
        <w:jc w:val="both"/>
        <w:rPr/>
      </w:pPr>
      <w:bookmarkStart w:name="_heading=h.z8w4ylvqpi5v" w:colFirst="0" w:colLast="0" w:id="9"/>
      <w:bookmarkEnd w:id="9"/>
      <w:r>
        <w:rPr>
          <w:rtl w:val="0"/>
        </w:rPr>
        <w:t xml:space="preserve">[8] A. V. Pillai and K. Kumar, "The impact of AI-based compliance automation on regulatory audit readiness," ResearchGate, 2024.</w:t>
      </w:r>
    </w:p>
    <w:p xmlns:wp14="http://schemas.microsoft.com/office/word/2010/wordml" w:rsidRDefault="00000000" w14:paraId="00000052" wp14:textId="77777777">
      <w:pPr>
        <w:pStyle w:val="Heading3"/>
        <w:jc w:val="both"/>
        <w:rPr/>
      </w:pPr>
      <w:bookmarkStart w:name="_heading=h.ckj2wevfypgc" w:colFirst="0" w:colLast="0" w:id="10"/>
      <w:bookmarkEnd w:id="10"/>
      <w:r>
        <w:rPr>
          <w:rtl w:val="0"/>
        </w:rPr>
      </w:r>
    </w:p>
    <w:p xmlns:wp14="http://schemas.microsoft.com/office/word/2010/wordml" w:rsidRDefault="00000000" w14:paraId="00000053" wp14:textId="77777777">
      <w:pPr>
        <w:pStyle w:val="Heading3"/>
        <w:jc w:val="both"/>
      </w:pPr>
      <w:bookmarkStart w:name="_heading=h.3y9e42or0v2d" w:id="11"/>
      <w:bookmarkEnd w:id="11"/>
      <w:r w:rsidRPr="527F28B2" w:rsidR="527F28B2">
        <w:rPr>
          <w:lang w:val="en-US"/>
        </w:rPr>
        <w:t>[9] E. Cadet, E. D. Etim, I. A. Essien, E. D. Erigha, L. A. Babatunde, J. O. Ajayi, and E. Obuse, "Large language models for cybersecurity policy compliance and risk mitigation," International Journal of Scientific Research in Humanities and Social Sciences, 2024.</w:t>
      </w:r>
    </w:p>
    <w:p xmlns:wp14="http://schemas.microsoft.com/office/word/2010/wordml" w:rsidRDefault="00000000" w14:paraId="00000054" wp14:textId="77777777">
      <w:pPr>
        <w:pStyle w:val="Heading3"/>
        <w:jc w:val="both"/>
        <w:rPr/>
      </w:pPr>
      <w:bookmarkStart w:name="_heading=h.41qceh7p0uiw" w:colFirst="0" w:colLast="0" w:id="12"/>
      <w:bookmarkEnd w:id="12"/>
      <w:r>
        <w:rPr>
          <w:rtl w:val="0"/>
        </w:rPr>
      </w:r>
    </w:p>
    <w:p xmlns:wp14="http://schemas.microsoft.com/office/word/2010/wordml" w:rsidRDefault="00000000" w14:paraId="00000055" wp14:textId="77777777">
      <w:pPr>
        <w:pStyle w:val="Heading3"/>
        <w:jc w:val="both"/>
        <w:rPr/>
      </w:pPr>
      <w:bookmarkStart w:name="_heading=h.lj64z1oqd394" w:colFirst="0" w:colLast="0" w:id="13"/>
      <w:bookmarkEnd w:id="13"/>
      <w:r>
        <w:rPr>
          <w:rtl w:val="0"/>
        </w:rPr>
        <w:t xml:space="preserve">[10] J. Zhang, H. Bu, H. Wen, Y. Liu, H. Fei, R. Xi, L. Li, Y. Yang, H. Zhu, and D. Meng, "When LLMs meet cybersecurity: A systematic literature review," Cybersecurity, Springer Nature, 2025. </w:t>
      </w:r>
    </w:p>
    <w:p xmlns:wp14="http://schemas.microsoft.com/office/word/2010/wordml" w:rsidRDefault="00000000" w14:paraId="00000056" wp14:textId="77777777">
      <w:pPr>
        <w:pStyle w:val="Heading3"/>
        <w:jc w:val="both"/>
        <w:rPr/>
      </w:pPr>
      <w:bookmarkStart w:name="_heading=h.ix6ki6htygm3" w:colFirst="0" w:colLast="0" w:id="14"/>
      <w:bookmarkEnd w:id="14"/>
      <w:r>
        <w:rPr>
          <w:rtl w:val="0"/>
        </w:rPr>
      </w:r>
    </w:p>
    <w:p xmlns:wp14="http://schemas.microsoft.com/office/word/2010/wordml" w:rsidRDefault="00000000" w14:paraId="00000057" wp14:textId="77777777">
      <w:pPr>
        <w:pStyle w:val="Heading3"/>
        <w:jc w:val="both"/>
      </w:pPr>
      <w:bookmarkStart w:name="_heading=h.c9rapil8ouqm" w:id="15"/>
      <w:bookmarkEnd w:id="15"/>
      <w:r w:rsidRPr="527F28B2" w:rsidR="527F28B2">
        <w:rPr>
          <w:lang w:val="en-US"/>
        </w:rPr>
        <w:t xml:space="preserve">[11] I. A. Essien, E. Cadet, J. O. Ajayi, E. D. Erigha, and E. Obuse, "AI-driven continuous compliance and threat intelligence model for adaptive GRC in complex digital ecosystems," Computer Science and IT Research Journal, vol. 6, no. 7, 2025. </w:t>
      </w:r>
    </w:p>
    <w:p xmlns:wp14="http://schemas.microsoft.com/office/word/2010/wordml" w:rsidRDefault="00000000" w14:paraId="00000058" wp14:textId="77777777">
      <w:pPr>
        <w:pStyle w:val="Heading3"/>
        <w:spacing w:before="240" w:after="240" w:lineRule="auto"/>
        <w:jc w:val="both"/>
        <w:rPr/>
      </w:pPr>
      <w:bookmarkStart w:name="_heading=h.ss6kdlhiiq5f" w:colFirst="0" w:colLast="0" w:id="16"/>
      <w:bookmarkEnd w:id="16"/>
      <w:r>
        <w:rPr>
          <w:rtl w:val="0"/>
        </w:rPr>
        <w:t xml:space="preserve">[12] N. O. Jaffal, M. Alkhanafseh, and D. Mohaisen, "Large language models in cybersecurity: A survey of applications, vulnerabilities, and defense techniques," AI, vol. 6, no. 9, p. 216, 2025.</w:t>
      </w:r>
    </w:p>
    <w:p xmlns:wp14="http://schemas.microsoft.com/office/word/2010/wordml" w:rsidRDefault="00000000" w14:paraId="00000059" wp14:textId="77777777">
      <w:pPr>
        <w:pStyle w:val="Heading3"/>
        <w:spacing w:before="240" w:after="240" w:lineRule="auto"/>
        <w:jc w:val="both"/>
      </w:pPr>
      <w:bookmarkStart w:name="_heading=h.rfnl7kme0m2y" w:id="17"/>
      <w:bookmarkEnd w:id="17"/>
      <w:r w:rsidRPr="527F28B2" w:rsidR="527F28B2">
        <w:rPr>
          <w:lang w:val="en-US"/>
        </w:rPr>
        <w:t>[13] T. McIntosh, T. Liu, T. Susnjak, H. Alavizadeh, A. Ng, R. Nowrozy, and P. Watters, "Harnessing GPT-4 for generation of cybersecurity GRC policies: A focus on ransomware attack mitigation," ResearchGate, 2023.</w:t>
      </w:r>
    </w:p>
    <w:p xmlns:wp14="http://schemas.microsoft.com/office/word/2010/wordml" w:rsidRDefault="00000000" w14:paraId="0000005A" wp14:textId="77777777">
      <w:pPr>
        <w:pStyle w:val="Heading3"/>
        <w:spacing w:before="240" w:after="240" w:lineRule="auto"/>
        <w:jc w:val="both"/>
      </w:pPr>
      <w:bookmarkStart w:name="_heading=h.4rzs9em4al44" w:id="18"/>
      <w:bookmarkEnd w:id="18"/>
      <w:r w:rsidRPr="527F28B2" w:rsidR="527F28B2">
        <w:rPr>
          <w:lang w:val="en-US"/>
        </w:rPr>
        <w:t>[14] V. Z. Mohale and I. C. Obagbuwa, "A systematic review on the integration of explainable artificial intelligence in intrusion detection systems to enhancing transparency and interpretability in cybersecurity," Frontiers in Artificial Intelligence, vol. 8, 2025.</w:t>
      </w:r>
    </w:p>
    <w:p xmlns:wp14="http://schemas.microsoft.com/office/word/2010/wordml" w:rsidRDefault="00000000" w14:paraId="0000005B" wp14:textId="77777777">
      <w:pPr>
        <w:pStyle w:val="Heading3"/>
        <w:spacing w:before="240" w:after="240" w:lineRule="auto"/>
        <w:jc w:val="both"/>
      </w:pPr>
      <w:bookmarkStart w:name="_heading=h.7lbnolor33hp" w:id="19"/>
      <w:bookmarkEnd w:id="19"/>
      <w:r w:rsidRPr="527F28B2" w:rsidR="527F28B2">
        <w:rPr>
          <w:lang w:val="en-US"/>
        </w:rPr>
        <w:t>[15] S. Oriaro and S. Mishra, "Improving cybersecurity through explainable artificial intelligence: A systematic literature review," Issues in Information Systems, vol. 26, no. 3, pp. 387-400, 2025.</w:t>
      </w:r>
    </w:p>
    <w:p xmlns:wp14="http://schemas.microsoft.com/office/word/2010/wordml" w:rsidRDefault="00000000" w14:paraId="0000005C" wp14:textId="77777777">
      <w:pPr>
        <w:pStyle w:val="Heading3"/>
        <w:spacing w:before="240" w:after="240" w:lineRule="auto"/>
        <w:jc w:val="both"/>
        <w:rPr/>
      </w:pPr>
      <w:bookmarkStart w:name="_heading=h.yrjxlhwx0sc7" w:colFirst="0" w:colLast="0" w:id="20"/>
      <w:bookmarkEnd w:id="20"/>
      <w:r>
        <w:rPr>
          <w:rtl w:val="0"/>
        </w:rPr>
        <w:t xml:space="preserve">[16] A. Jain, "AI and privacy 2024 to 2025: Embracing the future of global legal developments," Cloud Security Alliance, 2025.</w:t>
      </w:r>
    </w:p>
    <w:p xmlns:wp14="http://schemas.microsoft.com/office/word/2010/wordml" w:rsidRDefault="00000000" w14:paraId="0000005D" wp14:textId="77777777">
      <w:pPr>
        <w:pStyle w:val="Heading3"/>
        <w:spacing w:before="240" w:after="240" w:lineRule="auto"/>
        <w:jc w:val="both"/>
        <w:rPr/>
      </w:pPr>
      <w:bookmarkStart w:name="_heading=h.civhsg27o241" w:colFirst="0" w:colLast="0" w:id="21"/>
      <w:bookmarkEnd w:id="21"/>
      <w:r>
        <w:rPr>
          <w:rtl w:val="0"/>
        </w:rPr>
        <w:t xml:space="preserve">[17] NIST, "Cybersecurity Framework 2.0," National Institute of Standards and Technology, 2024.</w:t>
      </w:r>
    </w:p>
    <w:p xmlns:wp14="http://schemas.microsoft.com/office/word/2010/wordml" w:rsidRDefault="00000000" w14:paraId="0000005E" wp14:textId="77777777">
      <w:pPr>
        <w:pStyle w:val="Heading3"/>
        <w:spacing w:before="240" w:after="240" w:lineRule="auto"/>
        <w:jc w:val="both"/>
      </w:pPr>
      <w:bookmarkStart w:name="_heading=h.qpcm1tva3gyd" w:id="22"/>
      <w:bookmarkEnd w:id="22"/>
      <w:r w:rsidRPr="527F28B2" w:rsidR="527F28B2">
        <w:rPr>
          <w:lang w:val="en-US"/>
        </w:rPr>
        <w:t>[18] H. Al-Matouq, S. Mahmood, M. Alshayeb, and M. Niazi, "A maturity model for secure software design: A multivocal study," IEEE Access, vol. 8, pp. 215758-215776, 2020.</w:t>
      </w:r>
    </w:p>
    <w:p xmlns:wp14="http://schemas.microsoft.com/office/word/2010/wordml" w:rsidRDefault="00000000" w14:paraId="0000005F" wp14:textId="77777777">
      <w:pPr>
        <w:pStyle w:val="Heading3"/>
        <w:spacing w:before="240" w:after="240" w:lineRule="auto"/>
        <w:jc w:val="both"/>
        <w:rPr/>
      </w:pPr>
      <w:bookmarkStart w:name="_heading=h.ca445r1ke5xq" w:colFirst="0" w:colLast="0" w:id="23"/>
      <w:bookmarkEnd w:id="23"/>
      <w:r>
        <w:rPr>
          <w:rtl w:val="0"/>
        </w:rPr>
        <w:t xml:space="preserve">[19] T. Edgar, E. Lowell, C. Winslow, and T. Harlan, "Automated risk scoring models for security compliance using AI and behavioral analysis," ResearchGate, 2025.</w:t>
      </w:r>
    </w:p>
    <w:p xmlns:wp14="http://schemas.microsoft.com/office/word/2010/wordml" w:rsidRDefault="00000000" w14:paraId="00000060" wp14:textId="77777777">
      <w:pPr>
        <w:pStyle w:val="Heading3"/>
        <w:spacing w:before="240" w:after="240" w:lineRule="auto"/>
        <w:jc w:val="both"/>
        <w:rPr/>
      </w:pPr>
      <w:bookmarkStart w:name="_heading=h.abpcrz6i32w" w:colFirst="0" w:colLast="0" w:id="24"/>
      <w:bookmarkEnd w:id="24"/>
      <w:r>
        <w:rPr>
          <w:rtl w:val="0"/>
        </w:rPr>
        <w:t xml:space="preserve">[20] Z. Zhang, H. Ning, F. Shi, F. Farha, Y. Xu, J. Xu, F. Zhang, and K.-K. R. Choo, "Artificial intelligence in cyber security: Research advances, challenges, and opportunities," Artificial Intelligence Review, vol. 55, no. 2, pp. 1029-1053, 2022.</w:t>
      </w:r>
    </w:p>
    <w:p xmlns:wp14="http://schemas.microsoft.com/office/word/2010/wordml" w:rsidRDefault="00000000" w14:paraId="00000061" wp14:textId="77777777">
      <w:pPr>
        <w:pStyle w:val="Heading3"/>
        <w:spacing w:before="240" w:after="240" w:lineRule="auto"/>
        <w:jc w:val="both"/>
        <w:rPr/>
      </w:pPr>
      <w:bookmarkStart w:name="_heading=h.vizubcxj82hi" w:colFirst="0" w:colLast="0" w:id="25"/>
      <w:bookmarkEnd w:id="25"/>
      <w:r>
        <w:rPr>
          <w:rtl w:val="0"/>
        </w:rPr>
        <w:t xml:space="preserve">[21] National Institute of Standards and Technology, Artificial Intelligence Risk Management Framework (AI RMF 1.0), NIST AI 100-1, Jan. 2023.</w:t>
      </w:r>
    </w:p>
    <w:p xmlns:wp14="http://schemas.microsoft.com/office/word/2010/wordml" w:rsidP="4A7CC396" w:rsidRDefault="00000000" w14:paraId="00000062" wp14:textId="77777777">
      <w:pPr>
        <w:pStyle w:val="Heading3"/>
        <w:rPr>
          <w:sz w:val="18"/>
          <w:szCs w:val="18"/>
          <w:lang w:val="en-US"/>
        </w:rPr>
      </w:pPr>
      <w:bookmarkStart w:name="_heading=h.ga9mujp67npx" w:id="26"/>
      <w:bookmarkEnd w:id="26"/>
      <w:r w:rsidRPr="4A7CC396" w:rsidR="676A2F2F">
        <w:rPr>
          <w:lang w:val="en-US"/>
        </w:rPr>
        <w:t>[22] European Parliament and Council of the European Union, Regulation (EU) 2024/1689 of 13 June 2024 laying down harmonised rules on artificial intelligence (Artificial Intelligence Act), Official Journal of the European Union, Jul. 2024.</w:t>
      </w:r>
    </w:p>
    <w:p w:rsidR="5B3155E4" w:rsidP="4A7CC396" w:rsidRDefault="5B3155E4" w14:paraId="188FC298" w14:textId="6C16BAEF">
      <w:pPr>
        <w:pStyle w:val="Heading3"/>
        <w:spacing w:before="240" w:beforeAutospacing="off"/>
        <w:rPr>
          <w:rFonts w:ascii="Aptos" w:hAnsi="Aptos" w:eastAsia="Aptos" w:cs="Aptos"/>
          <w:noProof w:val="0"/>
          <w:color w:val="000000" w:themeColor="text1" w:themeTint="FF" w:themeShade="FF"/>
          <w:sz w:val="18"/>
          <w:szCs w:val="18"/>
          <w:lang w:val="en-US"/>
        </w:rPr>
      </w:pPr>
      <w:r w:rsidRPr="4A7CC396" w:rsidR="5B3155E4">
        <w:rPr>
          <w:noProof w:val="0"/>
          <w:lang w:val="en-US"/>
        </w:rPr>
        <w:t xml:space="preserve">[23] Security Compass, "NIST CSF Compliance and Certification: Meaning, Process, and Costs," Aug. 26, 2025. </w:t>
      </w:r>
      <w:r w:rsidRPr="4A7CC396" w:rsidR="5B3155E4">
        <w:rPr>
          <w:noProof w:val="0"/>
          <w:lang w:val="en-US"/>
        </w:rPr>
        <w:t>[Online].</w:t>
      </w:r>
    </w:p>
    <w:p w:rsidR="5B3155E4" w:rsidP="4A7CC396" w:rsidRDefault="5B3155E4" w14:paraId="03C94A61" w14:textId="73D4BACC">
      <w:pPr>
        <w:pStyle w:val="Heading3"/>
        <w:spacing w:before="240" w:beforeAutospacing="off"/>
      </w:pPr>
      <w:r w:rsidRPr="4A7CC396" w:rsidR="5B3155E4">
        <w:rPr>
          <w:noProof w:val="0"/>
          <w:lang w:val="en-US"/>
        </w:rPr>
        <w:t xml:space="preserve">[24] </w:t>
      </w:r>
      <w:r w:rsidRPr="4A7CC396" w:rsidR="5B3155E4">
        <w:rPr>
          <w:noProof w:val="0"/>
          <w:lang w:val="en-US"/>
        </w:rPr>
        <w:t>Drata</w:t>
      </w:r>
      <w:r w:rsidRPr="4A7CC396" w:rsidR="5B3155E4">
        <w:rPr>
          <w:noProof w:val="0"/>
          <w:lang w:val="en-US"/>
        </w:rPr>
        <w:t xml:space="preserve">, "How Much Does ISO 27001 Certification Cost?" Feb. 24, 2026. </w:t>
      </w:r>
      <w:r w:rsidRPr="4A7CC396" w:rsidR="5B3155E4">
        <w:rPr>
          <w:noProof w:val="0"/>
          <w:lang w:val="en-US"/>
        </w:rPr>
        <w:t>[Online].</w:t>
      </w:r>
      <w:r w:rsidRPr="4A7CC396" w:rsidR="5B3155E4">
        <w:rPr>
          <w:noProof w:val="0"/>
          <w:lang w:val="en-US"/>
        </w:rPr>
        <w:t xml:space="preserve"> </w:t>
      </w:r>
    </w:p>
    <w:p w:rsidR="33101172" w:rsidP="4A7CC396" w:rsidRDefault="33101172" w14:paraId="521FBB99" w14:textId="61B0DA31">
      <w:pPr>
        <w:pStyle w:val="Heading3"/>
        <w:spacing w:before="240" w:beforeAutospacing="off"/>
        <w:rPr>
          <w:rFonts w:ascii="Aptos" w:hAnsi="Aptos" w:eastAsia="Aptos" w:cs="Aptos"/>
          <w:noProof w:val="0"/>
          <w:sz w:val="18"/>
          <w:szCs w:val="18"/>
          <w:lang w:val="en-US"/>
        </w:rPr>
      </w:pPr>
      <w:r w:rsidRPr="4A7CC396" w:rsidR="33101172">
        <w:rPr>
          <w:noProof w:val="0"/>
          <w:lang w:val="en-US"/>
        </w:rPr>
        <w:t>[25]</w:t>
      </w:r>
      <w:r w:rsidRPr="4A7CC396" w:rsidR="0AF73A3D">
        <w:rPr>
          <w:noProof w:val="0"/>
          <w:lang w:val="en-US"/>
        </w:rPr>
        <w:t xml:space="preserve"> </w:t>
      </w:r>
      <w:r w:rsidRPr="4A7CC396" w:rsidR="33101172">
        <w:rPr>
          <w:noProof w:val="0"/>
          <w:lang w:val="en-US"/>
        </w:rPr>
        <w:t xml:space="preserve">Chroma, “Introduction to Chroma,” </w:t>
      </w:r>
      <w:r w:rsidRPr="4A7CC396" w:rsidR="33101172">
        <w:rPr>
          <w:noProof w:val="0"/>
          <w:lang w:val="en-US"/>
        </w:rPr>
        <w:t>Chroma Documentation</w:t>
      </w:r>
      <w:r w:rsidRPr="4A7CC396" w:rsidR="33101172">
        <w:rPr>
          <w:noProof w:val="0"/>
          <w:lang w:val="en-US"/>
        </w:rPr>
        <w:t xml:space="preserve">. </w:t>
      </w:r>
      <w:r w:rsidRPr="4A7CC396" w:rsidR="33101172">
        <w:rPr>
          <w:noProof w:val="0"/>
          <w:lang w:val="en-US"/>
        </w:rPr>
        <w:t>[Online].</w:t>
      </w:r>
    </w:p>
    <w:p w:rsidR="654048B6" w:rsidP="654048B6" w:rsidRDefault="654048B6" w14:paraId="5F9DB850" w14:textId="07F1EC90">
      <w:pPr>
        <w:pStyle w:val="Normal"/>
        <w:rPr>
          <w:lang w:val="en-US"/>
        </w:rPr>
      </w:pPr>
    </w:p>
    <w:p xmlns:wp14="http://schemas.microsoft.com/office/word/2010/wordml" w:rsidRDefault="00000000" w14:paraId="00000063" wp14:textId="77777777">
      <w:pPr>
        <w:pStyle w:val="Heading3"/>
        <w:spacing w:before="240" w:after="240" w:lineRule="auto"/>
        <w:jc w:val="both"/>
        <w:rPr/>
        <w:sectPr>
          <w:type w:val="continuous"/>
          <w:pgSz w:w="12240" w:h="15840" w:orient="portrait"/>
          <w:pgMar w:top="1440" w:right="1210" w:bottom="1440" w:left="1210" w:header="720" w:footer="720"/>
          <w:cols w:equalWidth="0" w:num="2">
            <w:col w:w="4679" w:space="461"/>
            <w:col w:w="4679"/>
          </w:cols>
        </w:sectPr>
      </w:pPr>
      <w:bookmarkStart w:name="_heading=h.uba3d7phyief" w:colFirst="0" w:colLast="0" w:id="27"/>
      <w:bookmarkEnd w:id="27"/>
      <w:r>
        <w:rPr>
          <w:rtl w:val="0"/>
        </w:rPr>
      </w:r>
    </w:p>
    <w:p xmlns:wp14="http://schemas.microsoft.com/office/word/2010/wordml" w:rsidRDefault="00000000" w14:paraId="00000064" wp14:textId="77777777">
      <w:pPr>
        <w:pStyle w:val="Heading1"/>
        <w:rPr/>
      </w:pPr>
      <w:r>
        <w:rPr>
          <w:rtl w:val="0"/>
        </w:rPr>
      </w:r>
    </w:p>
    <w:sectPr>
      <w:type w:val="continuous"/>
      <w:pgSz w:w="12240" w:h="15840" w:orient="portrait"/>
      <w:pgMar w:top="1440" w:right="1210" w:bottom="1440" w:left="1210" w:header="720" w:footer="720"/>
      <w:cols w:equalWidth="0" w:num="2">
        <w:col w:w="4679" w:space="461"/>
        <w:col w:w="4679"/>
      </w:cols>
    </w:sectPr>
  </w:body>
</w:document>
</file>

<file path=word/comments.xml><?xml version="1.0" encoding="utf-8"?>
<w:comment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comment xmlns:w="http://schemas.openxmlformats.org/wordprocessingml/2006/main" w:initials="AJ" w:author="Amal Jadoon" w:date="2026-07-21T19:38:29" w:id="225944546">
    <w:p xmlns:w14="http://schemas.microsoft.com/office/word/2010/wordml" xmlns:w="http://schemas.openxmlformats.org/wordprocessingml/2006/main" w:rsidR="6E96C56A" w:rsidRDefault="2899360A" w14:paraId="44A97456" w14:textId="6022176F">
      <w:pPr>
        <w:pStyle w:val="CommentText"/>
      </w:pPr>
      <w:r>
        <w:rPr>
          <w:rStyle w:val="CommentReference"/>
        </w:rPr>
        <w:annotationRef/>
      </w:r>
      <w:r w:rsidRPr="4C89CE2F" w:rsidR="28D4EADA">
        <w:t xml:space="preserve">We have to write all names here. </w:t>
      </w:r>
    </w:p>
    <w:p xmlns:w14="http://schemas.microsoft.com/office/word/2010/wordml" xmlns:w="http://schemas.openxmlformats.org/wordprocessingml/2006/main" w:rsidR="6D0F2CD3" w:rsidRDefault="69A9D13D" w14:paraId="0D86721F" w14:textId="1D1D0D34">
      <w:pPr>
        <w:pStyle w:val="CommentText"/>
      </w:pPr>
    </w:p>
    <w:p xmlns:w14="http://schemas.microsoft.com/office/word/2010/wordml" xmlns:w="http://schemas.openxmlformats.org/wordprocessingml/2006/main" w:rsidR="3F7926A3" w:rsidRDefault="34FC319B" w14:paraId="6D37A09A" w14:textId="3BED68D8">
      <w:pPr>
        <w:pStyle w:val="CommentText"/>
      </w:pPr>
      <w:r w:rsidRPr="05ED9791" w:rsidR="02CF551A">
        <w:t>Deekshitha, Sera, Amal, Catalina, Sam, Arty, Jinghao, Jenson, Tony</w:t>
      </w:r>
    </w:p>
  </w:comment>
</w:comments>
</file>

<file path=word/commentsExtended.xml><?xml version="1.0" encoding="utf-8"?>
<w15:commentsEx xmlns:mc="http://schemas.openxmlformats.org/markup-compatibility/2006" xmlns:w15="http://schemas.microsoft.com/office/word/2012/wordml" mc:Ignorable="w15">
  <w15:commentEx w15:done="0" w15:paraId="6D37A09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2A0B745" w16cex:dateUtc="2026-07-21T23:38:29.657Z">
    <w16cex:extLst>
      <w16:ext w16:uri="{CE6994B0-6A32-4C9F-8C6B-6E91EDA988CE}">
        <cr:reactions xmlns:cr="http://schemas.microsoft.com/office/comments/2020/reactions">
          <cr:reaction reactionType="1">
            <cr:reactionInfo dateUtc="2026-07-28T16:56:00.039Z">
              <cr:user userId="S::dm587@duke.edu::3fc76899-97cf-49f7-9c39-eb47371d6a03" userProvider="AD" userName="Deekshitha Manjunatha Reddy"/>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6D37A09A" w16cid:durableId="42A0B745"/>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6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320"/>
        <w:tab w:val="right" w:leader="none" w:pos="8640"/>
      </w:tabs>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people.xml><?xml version="1.0" encoding="utf-8"?>
<w15:people xmlns:mc="http://schemas.openxmlformats.org/markup-compatibility/2006" xmlns:w15="http://schemas.microsoft.com/office/word/2012/wordml" mc:Ignorable="w15">
  <w15:person w15:author="Amal Jadoon">
    <w15:presenceInfo w15:providerId="AD" w15:userId="S::aj462@duke.edu::bcf943b0-067a-44da-b953-c659f4f36496"/>
  </w15:person>
  <w15:person w15:author="Amal Jadoon">
    <w15:presenceInfo w15:providerId="AD" w15:userId="S::aj462@duke.edu::bcf943b0-067a-44da-b953-c659f4f36496"/>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0F56278"/>
    <w:rsid w:val="00000000"/>
    <w:rsid w:val="0028792C"/>
    <w:rsid w:val="0073FB05"/>
    <w:rsid w:val="00A5A35B"/>
    <w:rsid w:val="00A9DBCF"/>
    <w:rsid w:val="00D0DE14"/>
    <w:rsid w:val="00EEE6F0"/>
    <w:rsid w:val="00F56278"/>
    <w:rsid w:val="011A49CB"/>
    <w:rsid w:val="01FBA76E"/>
    <w:rsid w:val="02190352"/>
    <w:rsid w:val="021A616D"/>
    <w:rsid w:val="027D9D81"/>
    <w:rsid w:val="02917AC7"/>
    <w:rsid w:val="02AE2A9E"/>
    <w:rsid w:val="02F7AD11"/>
    <w:rsid w:val="034540C1"/>
    <w:rsid w:val="035C18F6"/>
    <w:rsid w:val="039977B4"/>
    <w:rsid w:val="04BE3690"/>
    <w:rsid w:val="04C4D5A5"/>
    <w:rsid w:val="0565DBCB"/>
    <w:rsid w:val="057EC8C9"/>
    <w:rsid w:val="05833914"/>
    <w:rsid w:val="0591181E"/>
    <w:rsid w:val="05938FC4"/>
    <w:rsid w:val="05938FC4"/>
    <w:rsid w:val="05CE9C96"/>
    <w:rsid w:val="060F031D"/>
    <w:rsid w:val="061774A6"/>
    <w:rsid w:val="06343E54"/>
    <w:rsid w:val="064D69FE"/>
    <w:rsid w:val="06B3303F"/>
    <w:rsid w:val="06DE514E"/>
    <w:rsid w:val="06F26E2B"/>
    <w:rsid w:val="0707754A"/>
    <w:rsid w:val="07187449"/>
    <w:rsid w:val="07261002"/>
    <w:rsid w:val="07261002"/>
    <w:rsid w:val="07439E2E"/>
    <w:rsid w:val="07B52634"/>
    <w:rsid w:val="07C62F24"/>
    <w:rsid w:val="085024DD"/>
    <w:rsid w:val="0865346D"/>
    <w:rsid w:val="08657201"/>
    <w:rsid w:val="087A8066"/>
    <w:rsid w:val="08834B79"/>
    <w:rsid w:val="088C8E29"/>
    <w:rsid w:val="08F3BB12"/>
    <w:rsid w:val="08F8B7AA"/>
    <w:rsid w:val="08FED250"/>
    <w:rsid w:val="091672C6"/>
    <w:rsid w:val="091672C6"/>
    <w:rsid w:val="09220E70"/>
    <w:rsid w:val="093A5834"/>
    <w:rsid w:val="098D0A23"/>
    <w:rsid w:val="0991ADDC"/>
    <w:rsid w:val="09B0CDD3"/>
    <w:rsid w:val="09D84C6D"/>
    <w:rsid w:val="09E61756"/>
    <w:rsid w:val="0A2C9B2B"/>
    <w:rsid w:val="0A510B01"/>
    <w:rsid w:val="0AF73A3D"/>
    <w:rsid w:val="0AF7DCDF"/>
    <w:rsid w:val="0B822389"/>
    <w:rsid w:val="0B822389"/>
    <w:rsid w:val="0B874A33"/>
    <w:rsid w:val="0B99D4CC"/>
    <w:rsid w:val="0BB6A513"/>
    <w:rsid w:val="0C068224"/>
    <w:rsid w:val="0C08A785"/>
    <w:rsid w:val="0C09636B"/>
    <w:rsid w:val="0C9D945A"/>
    <w:rsid w:val="0CAB43C1"/>
    <w:rsid w:val="0CCECC42"/>
    <w:rsid w:val="0D3883CB"/>
    <w:rsid w:val="0DE7773A"/>
    <w:rsid w:val="0DE91365"/>
    <w:rsid w:val="0E90A426"/>
    <w:rsid w:val="0F15723A"/>
    <w:rsid w:val="0F4C7F2C"/>
    <w:rsid w:val="0F7E4721"/>
    <w:rsid w:val="0FEBC3CD"/>
    <w:rsid w:val="1003BDB2"/>
    <w:rsid w:val="101886B3"/>
    <w:rsid w:val="10473456"/>
    <w:rsid w:val="10473456"/>
    <w:rsid w:val="108285F2"/>
    <w:rsid w:val="111CE5B3"/>
    <w:rsid w:val="11C3FC3B"/>
    <w:rsid w:val="11C5856B"/>
    <w:rsid w:val="11FA07C5"/>
    <w:rsid w:val="12144CA6"/>
    <w:rsid w:val="1221C510"/>
    <w:rsid w:val="124E4A2A"/>
    <w:rsid w:val="12596E0F"/>
    <w:rsid w:val="1271FC31"/>
    <w:rsid w:val="12D9782E"/>
    <w:rsid w:val="131D9C0C"/>
    <w:rsid w:val="1344DDC0"/>
    <w:rsid w:val="135AC956"/>
    <w:rsid w:val="136D7256"/>
    <w:rsid w:val="13895E8D"/>
    <w:rsid w:val="13ECFBB7"/>
    <w:rsid w:val="1424BA0A"/>
    <w:rsid w:val="14403A50"/>
    <w:rsid w:val="14B67626"/>
    <w:rsid w:val="14BFA6FB"/>
    <w:rsid w:val="14BFA6FB"/>
    <w:rsid w:val="14E340F0"/>
    <w:rsid w:val="14EE6E04"/>
    <w:rsid w:val="14F01A3B"/>
    <w:rsid w:val="15551E35"/>
    <w:rsid w:val="159682E7"/>
    <w:rsid w:val="15A97D15"/>
    <w:rsid w:val="169956AE"/>
    <w:rsid w:val="16E29945"/>
    <w:rsid w:val="175251F6"/>
    <w:rsid w:val="1772049B"/>
    <w:rsid w:val="17777299"/>
    <w:rsid w:val="179A92EF"/>
    <w:rsid w:val="179A92EF"/>
    <w:rsid w:val="179FC7FB"/>
    <w:rsid w:val="179FC7FB"/>
    <w:rsid w:val="182EB159"/>
    <w:rsid w:val="1847D475"/>
    <w:rsid w:val="185BFE3D"/>
    <w:rsid w:val="187E3DDB"/>
    <w:rsid w:val="18839FFD"/>
    <w:rsid w:val="194B4346"/>
    <w:rsid w:val="196AAC39"/>
    <w:rsid w:val="197A7788"/>
    <w:rsid w:val="19A09055"/>
    <w:rsid w:val="19AD5EFC"/>
    <w:rsid w:val="1A3F851B"/>
    <w:rsid w:val="1A5162E2"/>
    <w:rsid w:val="1A7B172F"/>
    <w:rsid w:val="1A8E3F1D"/>
    <w:rsid w:val="1A97D101"/>
    <w:rsid w:val="1AC55103"/>
    <w:rsid w:val="1B1FF4FA"/>
    <w:rsid w:val="1B7E5BF8"/>
    <w:rsid w:val="1B9E752F"/>
    <w:rsid w:val="1BDF87C0"/>
    <w:rsid w:val="1BE03AED"/>
    <w:rsid w:val="1C08A3A7"/>
    <w:rsid w:val="1C56D60A"/>
    <w:rsid w:val="1C5E01F9"/>
    <w:rsid w:val="1C9BA60C"/>
    <w:rsid w:val="1CDBFFAB"/>
    <w:rsid w:val="1D403F9D"/>
    <w:rsid w:val="1D403F9D"/>
    <w:rsid w:val="1D7F987A"/>
    <w:rsid w:val="1E62C988"/>
    <w:rsid w:val="1E7AD2F0"/>
    <w:rsid w:val="1EA298DF"/>
    <w:rsid w:val="1F03519F"/>
    <w:rsid w:val="1F1E826F"/>
    <w:rsid w:val="1F22DB38"/>
    <w:rsid w:val="1F32F268"/>
    <w:rsid w:val="1F32F268"/>
    <w:rsid w:val="1F5B0A6C"/>
    <w:rsid w:val="21112961"/>
    <w:rsid w:val="22145F25"/>
    <w:rsid w:val="223C96C9"/>
    <w:rsid w:val="231F9C53"/>
    <w:rsid w:val="23725C1D"/>
    <w:rsid w:val="2380FB99"/>
    <w:rsid w:val="23D4E51C"/>
    <w:rsid w:val="2424CCDE"/>
    <w:rsid w:val="24520604"/>
    <w:rsid w:val="247D3726"/>
    <w:rsid w:val="2484DD94"/>
    <w:rsid w:val="249B787A"/>
    <w:rsid w:val="24A8FCB9"/>
    <w:rsid w:val="2511EC9F"/>
    <w:rsid w:val="2511EC9F"/>
    <w:rsid w:val="255D5FF0"/>
    <w:rsid w:val="256E1E47"/>
    <w:rsid w:val="25AABA57"/>
    <w:rsid w:val="25CD1847"/>
    <w:rsid w:val="25D49A47"/>
    <w:rsid w:val="25F2C301"/>
    <w:rsid w:val="2615F9A9"/>
    <w:rsid w:val="261E58EB"/>
    <w:rsid w:val="26915BC6"/>
    <w:rsid w:val="26915BC6"/>
    <w:rsid w:val="26B06CD1"/>
    <w:rsid w:val="26C675D7"/>
    <w:rsid w:val="2745E12C"/>
    <w:rsid w:val="275320FF"/>
    <w:rsid w:val="275DE865"/>
    <w:rsid w:val="277277CE"/>
    <w:rsid w:val="27D941E8"/>
    <w:rsid w:val="27E87E66"/>
    <w:rsid w:val="27F46751"/>
    <w:rsid w:val="280890D0"/>
    <w:rsid w:val="2846D2BF"/>
    <w:rsid w:val="284BB7CC"/>
    <w:rsid w:val="2869A6D8"/>
    <w:rsid w:val="28A15585"/>
    <w:rsid w:val="28A1C481"/>
    <w:rsid w:val="28BC47FC"/>
    <w:rsid w:val="290BB669"/>
    <w:rsid w:val="29BADFED"/>
    <w:rsid w:val="29BADFED"/>
    <w:rsid w:val="29DF5D24"/>
    <w:rsid w:val="29EBE5EE"/>
    <w:rsid w:val="2A3B11E0"/>
    <w:rsid w:val="2C130477"/>
    <w:rsid w:val="2C130477"/>
    <w:rsid w:val="2C1A4C41"/>
    <w:rsid w:val="2C25EF49"/>
    <w:rsid w:val="2C40B239"/>
    <w:rsid w:val="2C531C17"/>
    <w:rsid w:val="2C822B04"/>
    <w:rsid w:val="2C91D121"/>
    <w:rsid w:val="2CBCCB6C"/>
    <w:rsid w:val="2CC97469"/>
    <w:rsid w:val="2D03E12E"/>
    <w:rsid w:val="2D714A33"/>
    <w:rsid w:val="2DB04A6D"/>
    <w:rsid w:val="2DC89B70"/>
    <w:rsid w:val="2DCCB8E5"/>
    <w:rsid w:val="2DE482C4"/>
    <w:rsid w:val="2DF7F980"/>
    <w:rsid w:val="2E213C43"/>
    <w:rsid w:val="2E28E419"/>
    <w:rsid w:val="2ED2670D"/>
    <w:rsid w:val="2ED2670D"/>
    <w:rsid w:val="2EDD6870"/>
    <w:rsid w:val="2EDD6870"/>
    <w:rsid w:val="2F50EAF6"/>
    <w:rsid w:val="2F5C53B6"/>
    <w:rsid w:val="2F82F782"/>
    <w:rsid w:val="2FE08D99"/>
    <w:rsid w:val="2FE4AAD6"/>
    <w:rsid w:val="3003FA17"/>
    <w:rsid w:val="30DBC4D4"/>
    <w:rsid w:val="30DDFCB4"/>
    <w:rsid w:val="30EF807F"/>
    <w:rsid w:val="3144DF83"/>
    <w:rsid w:val="31F7C28E"/>
    <w:rsid w:val="32073CA1"/>
    <w:rsid w:val="32B4DED0"/>
    <w:rsid w:val="32D64C6E"/>
    <w:rsid w:val="32F29D9B"/>
    <w:rsid w:val="33101172"/>
    <w:rsid w:val="332A1BC2"/>
    <w:rsid w:val="333CE4D9"/>
    <w:rsid w:val="3403FBA9"/>
    <w:rsid w:val="340FE73E"/>
    <w:rsid w:val="341D8E8A"/>
    <w:rsid w:val="3491FCDA"/>
    <w:rsid w:val="3491FCDA"/>
    <w:rsid w:val="34C9744D"/>
    <w:rsid w:val="34DF7AD4"/>
    <w:rsid w:val="3527F43C"/>
    <w:rsid w:val="3542E499"/>
    <w:rsid w:val="3542E499"/>
    <w:rsid w:val="354885F5"/>
    <w:rsid w:val="35A12E3E"/>
    <w:rsid w:val="35F9DF34"/>
    <w:rsid w:val="362C2CDF"/>
    <w:rsid w:val="364B21D9"/>
    <w:rsid w:val="36F5E8C2"/>
    <w:rsid w:val="371ECDD1"/>
    <w:rsid w:val="3738456D"/>
    <w:rsid w:val="373A46A3"/>
    <w:rsid w:val="37653610"/>
    <w:rsid w:val="3779C435"/>
    <w:rsid w:val="3779C435"/>
    <w:rsid w:val="37861A2F"/>
    <w:rsid w:val="37905C5D"/>
    <w:rsid w:val="37AFFEBE"/>
    <w:rsid w:val="37DFDC22"/>
    <w:rsid w:val="383A8687"/>
    <w:rsid w:val="3862AC3D"/>
    <w:rsid w:val="389BF547"/>
    <w:rsid w:val="397512BE"/>
    <w:rsid w:val="39A943B6"/>
    <w:rsid w:val="39D94432"/>
    <w:rsid w:val="3A2F6705"/>
    <w:rsid w:val="3A3F20EC"/>
    <w:rsid w:val="3A523E10"/>
    <w:rsid w:val="3A833421"/>
    <w:rsid w:val="3A943C18"/>
    <w:rsid w:val="3AA9FA77"/>
    <w:rsid w:val="3AA9FA77"/>
    <w:rsid w:val="3ADB77CC"/>
    <w:rsid w:val="3B399BF9"/>
    <w:rsid w:val="3B3D6CA7"/>
    <w:rsid w:val="3B8776F3"/>
    <w:rsid w:val="3B8B66DB"/>
    <w:rsid w:val="3BB83481"/>
    <w:rsid w:val="3BB83CCF"/>
    <w:rsid w:val="3C2AFDF5"/>
    <w:rsid w:val="3C75748F"/>
    <w:rsid w:val="3CC2E4D8"/>
    <w:rsid w:val="3CC2F023"/>
    <w:rsid w:val="3D0BA3EC"/>
    <w:rsid w:val="3D27CCD8"/>
    <w:rsid w:val="3DC0A0A5"/>
    <w:rsid w:val="3DCD8804"/>
    <w:rsid w:val="3DDA4ADE"/>
    <w:rsid w:val="3DDAFC69"/>
    <w:rsid w:val="3E2A2A8B"/>
    <w:rsid w:val="3F0EFEDB"/>
    <w:rsid w:val="3F17FA79"/>
    <w:rsid w:val="3F3B0044"/>
    <w:rsid w:val="3F4F607D"/>
    <w:rsid w:val="3F7C37C9"/>
    <w:rsid w:val="3FD974C1"/>
    <w:rsid w:val="3FF0ED6D"/>
    <w:rsid w:val="40002B80"/>
    <w:rsid w:val="40038756"/>
    <w:rsid w:val="40131D04"/>
    <w:rsid w:val="4025AAB1"/>
    <w:rsid w:val="402BBBD7"/>
    <w:rsid w:val="406EFAEE"/>
    <w:rsid w:val="40716D14"/>
    <w:rsid w:val="4104A9CE"/>
    <w:rsid w:val="410EF69E"/>
    <w:rsid w:val="4128A692"/>
    <w:rsid w:val="413C61BE"/>
    <w:rsid w:val="424D53FC"/>
    <w:rsid w:val="42585F57"/>
    <w:rsid w:val="425BEC85"/>
    <w:rsid w:val="42EE7F88"/>
    <w:rsid w:val="4346446E"/>
    <w:rsid w:val="4351ABDD"/>
    <w:rsid w:val="4359906E"/>
    <w:rsid w:val="43AC242A"/>
    <w:rsid w:val="43B5127F"/>
    <w:rsid w:val="43C086DB"/>
    <w:rsid w:val="43CDBB64"/>
    <w:rsid w:val="43D4F649"/>
    <w:rsid w:val="43E17AAF"/>
    <w:rsid w:val="43F3E4A9"/>
    <w:rsid w:val="4469AE2C"/>
    <w:rsid w:val="447B5135"/>
    <w:rsid w:val="44D5E768"/>
    <w:rsid w:val="451F1108"/>
    <w:rsid w:val="452F0882"/>
    <w:rsid w:val="4559CCAF"/>
    <w:rsid w:val="455BDFB9"/>
    <w:rsid w:val="458B8F8B"/>
    <w:rsid w:val="459C23A9"/>
    <w:rsid w:val="45A1C0C7"/>
    <w:rsid w:val="45AA67F8"/>
    <w:rsid w:val="45B0642A"/>
    <w:rsid w:val="46B99D7D"/>
    <w:rsid w:val="46CE698A"/>
    <w:rsid w:val="46F0D7C3"/>
    <w:rsid w:val="4729EA21"/>
    <w:rsid w:val="47767DB6"/>
    <w:rsid w:val="4810A31B"/>
    <w:rsid w:val="4810A31B"/>
    <w:rsid w:val="482A03F6"/>
    <w:rsid w:val="4842DAAE"/>
    <w:rsid w:val="4853E874"/>
    <w:rsid w:val="48970BAA"/>
    <w:rsid w:val="48A9C651"/>
    <w:rsid w:val="48BAE136"/>
    <w:rsid w:val="48EBE02A"/>
    <w:rsid w:val="48F15F0C"/>
    <w:rsid w:val="491F7898"/>
    <w:rsid w:val="491F7898"/>
    <w:rsid w:val="496A4B02"/>
    <w:rsid w:val="49755D08"/>
    <w:rsid w:val="49878691"/>
    <w:rsid w:val="498AC862"/>
    <w:rsid w:val="49AF37D2"/>
    <w:rsid w:val="4A03E194"/>
    <w:rsid w:val="4A09791B"/>
    <w:rsid w:val="4A09791B"/>
    <w:rsid w:val="4A352AAB"/>
    <w:rsid w:val="4A4F395A"/>
    <w:rsid w:val="4A7CC396"/>
    <w:rsid w:val="4B24A8E1"/>
    <w:rsid w:val="4B5C84EF"/>
    <w:rsid w:val="4B844EEB"/>
    <w:rsid w:val="4BC17EF7"/>
    <w:rsid w:val="4BED065F"/>
    <w:rsid w:val="4BED065F"/>
    <w:rsid w:val="4C15D6E0"/>
    <w:rsid w:val="4C7FA28C"/>
    <w:rsid w:val="4CA9ACFC"/>
    <w:rsid w:val="4CBF6886"/>
    <w:rsid w:val="4CD16C42"/>
    <w:rsid w:val="4CF9C7B8"/>
    <w:rsid w:val="4D10132D"/>
    <w:rsid w:val="4D418DB5"/>
    <w:rsid w:val="4D418DB5"/>
    <w:rsid w:val="4D89C8AE"/>
    <w:rsid w:val="4E5A7D5C"/>
    <w:rsid w:val="4E6D9F20"/>
    <w:rsid w:val="4F2563DC"/>
    <w:rsid w:val="4F29D7BA"/>
    <w:rsid w:val="4FAAC80F"/>
    <w:rsid w:val="4FBA81F7"/>
    <w:rsid w:val="4FD30EA9"/>
    <w:rsid w:val="50387E44"/>
    <w:rsid w:val="50493442"/>
    <w:rsid w:val="506E96B7"/>
    <w:rsid w:val="506E96B7"/>
    <w:rsid w:val="510A2B03"/>
    <w:rsid w:val="514B3605"/>
    <w:rsid w:val="5175BCF4"/>
    <w:rsid w:val="518D6730"/>
    <w:rsid w:val="51B53F52"/>
    <w:rsid w:val="51FF84A5"/>
    <w:rsid w:val="520CE050"/>
    <w:rsid w:val="520CE050"/>
    <w:rsid w:val="523E2D44"/>
    <w:rsid w:val="527F28B2"/>
    <w:rsid w:val="52875B2B"/>
    <w:rsid w:val="52B3FB8A"/>
    <w:rsid w:val="52C7FECA"/>
    <w:rsid w:val="533CFFB0"/>
    <w:rsid w:val="533CFFB0"/>
    <w:rsid w:val="538E995D"/>
    <w:rsid w:val="539ED4C5"/>
    <w:rsid w:val="53B6C74B"/>
    <w:rsid w:val="53E023F7"/>
    <w:rsid w:val="540EF7F5"/>
    <w:rsid w:val="5412AE7F"/>
    <w:rsid w:val="5412AE7F"/>
    <w:rsid w:val="5482DF13"/>
    <w:rsid w:val="549965FF"/>
    <w:rsid w:val="549EDCAA"/>
    <w:rsid w:val="54C3378C"/>
    <w:rsid w:val="54D3E30D"/>
    <w:rsid w:val="54D9F346"/>
    <w:rsid w:val="5506E664"/>
    <w:rsid w:val="556035D5"/>
    <w:rsid w:val="558489C8"/>
    <w:rsid w:val="558489C8"/>
    <w:rsid w:val="55D0888A"/>
    <w:rsid w:val="56308DFF"/>
    <w:rsid w:val="57A6A0F6"/>
    <w:rsid w:val="58292C19"/>
    <w:rsid w:val="58A057EB"/>
    <w:rsid w:val="58E43FBA"/>
    <w:rsid w:val="591368A5"/>
    <w:rsid w:val="591596BA"/>
    <w:rsid w:val="5964016C"/>
    <w:rsid w:val="59FF8E3A"/>
    <w:rsid w:val="5A5BBDCC"/>
    <w:rsid w:val="5A5BBDCC"/>
    <w:rsid w:val="5AF3EDFD"/>
    <w:rsid w:val="5B3155E4"/>
    <w:rsid w:val="5B4ABAAB"/>
    <w:rsid w:val="5C18AEA6"/>
    <w:rsid w:val="5C18AEA6"/>
    <w:rsid w:val="5C222896"/>
    <w:rsid w:val="5C9681AD"/>
    <w:rsid w:val="5CB5E331"/>
    <w:rsid w:val="5CE4F3CE"/>
    <w:rsid w:val="5D11F520"/>
    <w:rsid w:val="5D11F520"/>
    <w:rsid w:val="5D2FE95B"/>
    <w:rsid w:val="5D418306"/>
    <w:rsid w:val="5D54502D"/>
    <w:rsid w:val="5D55EA80"/>
    <w:rsid w:val="5D7E3478"/>
    <w:rsid w:val="5DAAEA08"/>
    <w:rsid w:val="5DB4D852"/>
    <w:rsid w:val="5E3D5E0B"/>
    <w:rsid w:val="5E6E9268"/>
    <w:rsid w:val="5E6E9268"/>
    <w:rsid w:val="5EC9C637"/>
    <w:rsid w:val="5EC9C637"/>
    <w:rsid w:val="5ECD745A"/>
    <w:rsid w:val="5EFA300A"/>
    <w:rsid w:val="5F52AEB0"/>
    <w:rsid w:val="5F57F057"/>
    <w:rsid w:val="5F864EB3"/>
    <w:rsid w:val="5FA88ACC"/>
    <w:rsid w:val="5FBD42EF"/>
    <w:rsid w:val="60646333"/>
    <w:rsid w:val="60FC25AF"/>
    <w:rsid w:val="612A3EA9"/>
    <w:rsid w:val="616DAF9E"/>
    <w:rsid w:val="616DAF9E"/>
    <w:rsid w:val="61844AC2"/>
    <w:rsid w:val="618619C3"/>
    <w:rsid w:val="618B2505"/>
    <w:rsid w:val="6190EDB7"/>
    <w:rsid w:val="61985780"/>
    <w:rsid w:val="61BBA5C6"/>
    <w:rsid w:val="61F9B131"/>
    <w:rsid w:val="626ACBEA"/>
    <w:rsid w:val="626ACBEA"/>
    <w:rsid w:val="62923662"/>
    <w:rsid w:val="6292E480"/>
    <w:rsid w:val="62F2F923"/>
    <w:rsid w:val="62F2F923"/>
    <w:rsid w:val="63568821"/>
    <w:rsid w:val="63568821"/>
    <w:rsid w:val="637A7755"/>
    <w:rsid w:val="637D60CA"/>
    <w:rsid w:val="637D60CA"/>
    <w:rsid w:val="63CA2576"/>
    <w:rsid w:val="6416C7CB"/>
    <w:rsid w:val="64307CF9"/>
    <w:rsid w:val="643FDB50"/>
    <w:rsid w:val="646210F5"/>
    <w:rsid w:val="6484D531"/>
    <w:rsid w:val="6493DB0C"/>
    <w:rsid w:val="64A95744"/>
    <w:rsid w:val="64A95744"/>
    <w:rsid w:val="64DB5CF0"/>
    <w:rsid w:val="64ECC587"/>
    <w:rsid w:val="654048B6"/>
    <w:rsid w:val="657A9DF2"/>
    <w:rsid w:val="65CA59CB"/>
    <w:rsid w:val="66117B50"/>
    <w:rsid w:val="66117B50"/>
    <w:rsid w:val="6625EF50"/>
    <w:rsid w:val="66585E88"/>
    <w:rsid w:val="66A85EA1"/>
    <w:rsid w:val="66CBAFCD"/>
    <w:rsid w:val="671799B2"/>
    <w:rsid w:val="672373BD"/>
    <w:rsid w:val="67337424"/>
    <w:rsid w:val="676A2F2F"/>
    <w:rsid w:val="6783406A"/>
    <w:rsid w:val="678AEF9E"/>
    <w:rsid w:val="67F17B9C"/>
    <w:rsid w:val="6932F4AA"/>
    <w:rsid w:val="6971A873"/>
    <w:rsid w:val="69AE0998"/>
    <w:rsid w:val="69D3BF55"/>
    <w:rsid w:val="69DAB52D"/>
    <w:rsid w:val="69E3349C"/>
    <w:rsid w:val="6A47714B"/>
    <w:rsid w:val="6A5D54AA"/>
    <w:rsid w:val="6A8E9682"/>
    <w:rsid w:val="6A900826"/>
    <w:rsid w:val="6A900826"/>
    <w:rsid w:val="6A90805C"/>
    <w:rsid w:val="6B00BD1C"/>
    <w:rsid w:val="6B100E80"/>
    <w:rsid w:val="6B82BC95"/>
    <w:rsid w:val="6B9FBBB8"/>
    <w:rsid w:val="6BABEE7A"/>
    <w:rsid w:val="6BAC4875"/>
    <w:rsid w:val="6BD1ED60"/>
    <w:rsid w:val="6BD2CC91"/>
    <w:rsid w:val="6BD7A661"/>
    <w:rsid w:val="6C0673BA"/>
    <w:rsid w:val="6C1154E6"/>
    <w:rsid w:val="6CCBD0D7"/>
    <w:rsid w:val="6CD9E754"/>
    <w:rsid w:val="6CF56E7C"/>
    <w:rsid w:val="6D18ED1F"/>
    <w:rsid w:val="6D44D341"/>
    <w:rsid w:val="6D4FF25A"/>
    <w:rsid w:val="6D93C57A"/>
    <w:rsid w:val="6D95DD02"/>
    <w:rsid w:val="6DE0F3AF"/>
    <w:rsid w:val="6DE3B100"/>
    <w:rsid w:val="6E0E73B6"/>
    <w:rsid w:val="6E80701C"/>
    <w:rsid w:val="6EAEAB75"/>
    <w:rsid w:val="6EDBCF86"/>
    <w:rsid w:val="6F0BD219"/>
    <w:rsid w:val="6F0FB94D"/>
    <w:rsid w:val="6F246CC0"/>
    <w:rsid w:val="6F68C99B"/>
    <w:rsid w:val="6FAADF1E"/>
    <w:rsid w:val="6FD9CE6D"/>
    <w:rsid w:val="6FE7F1DE"/>
    <w:rsid w:val="6FE7F1DE"/>
    <w:rsid w:val="6FF4465D"/>
    <w:rsid w:val="708D80EE"/>
    <w:rsid w:val="70A64477"/>
    <w:rsid w:val="70CE9AF6"/>
    <w:rsid w:val="70F44FCF"/>
    <w:rsid w:val="70F4B8DD"/>
    <w:rsid w:val="711A704C"/>
    <w:rsid w:val="712FFE1B"/>
    <w:rsid w:val="71486725"/>
    <w:rsid w:val="71984574"/>
    <w:rsid w:val="71A68AE3"/>
    <w:rsid w:val="71E7FE91"/>
    <w:rsid w:val="71E87308"/>
    <w:rsid w:val="7207FC28"/>
    <w:rsid w:val="720B0E61"/>
    <w:rsid w:val="72DBE218"/>
    <w:rsid w:val="7324B5C9"/>
    <w:rsid w:val="733D2DB2"/>
    <w:rsid w:val="7398E012"/>
    <w:rsid w:val="7398E012"/>
    <w:rsid w:val="73DEC7EC"/>
    <w:rsid w:val="7401D2EE"/>
    <w:rsid w:val="74A35B0E"/>
    <w:rsid w:val="74BEACF4"/>
    <w:rsid w:val="74C927D4"/>
    <w:rsid w:val="7540D846"/>
    <w:rsid w:val="75AD8B6E"/>
    <w:rsid w:val="75CDE180"/>
    <w:rsid w:val="76544BC0"/>
    <w:rsid w:val="76A43318"/>
    <w:rsid w:val="76AA9030"/>
    <w:rsid w:val="76CC5592"/>
    <w:rsid w:val="76EF7F9E"/>
    <w:rsid w:val="778DB547"/>
    <w:rsid w:val="77E534BB"/>
    <w:rsid w:val="7815104D"/>
    <w:rsid w:val="7838306E"/>
    <w:rsid w:val="789A7F5E"/>
    <w:rsid w:val="78B5E545"/>
    <w:rsid w:val="793908F9"/>
    <w:rsid w:val="79559A5C"/>
    <w:rsid w:val="796B864C"/>
    <w:rsid w:val="7978E8F8"/>
    <w:rsid w:val="7A37D62E"/>
    <w:rsid w:val="7A3D0144"/>
    <w:rsid w:val="7A3E83E8"/>
    <w:rsid w:val="7A45B8DB"/>
    <w:rsid w:val="7A5B56DE"/>
    <w:rsid w:val="7A79BDEB"/>
    <w:rsid w:val="7A9DBD20"/>
    <w:rsid w:val="7B002778"/>
    <w:rsid w:val="7B498784"/>
    <w:rsid w:val="7B73F9CF"/>
    <w:rsid w:val="7B754A66"/>
    <w:rsid w:val="7B922C72"/>
    <w:rsid w:val="7C00EB0D"/>
    <w:rsid w:val="7C792BD7"/>
    <w:rsid w:val="7C792BD7"/>
    <w:rsid w:val="7CDC979B"/>
    <w:rsid w:val="7D20C3C1"/>
    <w:rsid w:val="7D54955D"/>
    <w:rsid w:val="7D932826"/>
    <w:rsid w:val="7D932826"/>
    <w:rsid w:val="7DC9B6F5"/>
    <w:rsid w:val="7DE83E3E"/>
    <w:rsid w:val="7E226434"/>
    <w:rsid w:val="7E654252"/>
    <w:rsid w:val="7E76C6C8"/>
    <w:rsid w:val="7E796F0C"/>
    <w:rsid w:val="7EDF3933"/>
    <w:rsid w:val="7EED30BA"/>
    <w:rsid w:val="7EF1F51B"/>
    <w:rsid w:val="7FB38FC6"/>
    <w:rsid w:val="7FEA79E3"/>
    <w:rsid w:val="7FEC7807"/>
  </w:rsids>
  <w:clrSchemeMapping w:bg1="light1" w:t1="dark1" w:bg2="light2" w:t2="dark2" w:accent1="accent1" w:accent2="accent2" w:accent3="accent3" w:accent4="accent4" w:accent5="accent5" w:accent6="accent6" w:hyperlink="hyperlink" w:followedHyperlink="followedHyperlink"/>
  <w14:docId w14:val="3D931815"/>
  <w15:docId w15:val="{27EADC06-46D7-4332-82E0-94D8FBBF5598}"/>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lang w:val="en"/>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after="120" w:lineRule="auto"/>
      <w:jc w:val="center"/>
    </w:pPr>
    <w:rPr>
      <w:smallCaps w:val="1"/>
    </w:rPr>
  </w:style>
  <w:style w:type="paragraph" w:styleId="Heading2">
    <w:name w:val="heading 2"/>
    <w:basedOn w:val="Normal"/>
    <w:next w:val="Normal"/>
    <w:pPr>
      <w:keepNext w:val="1"/>
      <w:keepLines w:val="1"/>
      <w:spacing w:before="180" w:after="60" w:lineRule="auto"/>
      <w:jc w:val="left"/>
    </w:pPr>
    <w:rPr>
      <w:i w:val="1"/>
      <w:iCs w:val="1"/>
      <w:smallCaps w:val="0"/>
    </w:rPr>
  </w:style>
  <w:style w:type="paragraph" w:styleId="Heading3">
    <w:name w:val="heading 3"/>
    <w:basedOn w:val="Normal"/>
    <w:next w:val="Normal"/>
    <w:pPr>
      <w:jc w:val="both"/>
    </w:pPr>
    <w:rPr>
      <w:sz w:val="18"/>
      <w:szCs w:val="18"/>
    </w:rPr>
  </w:style>
  <w:style w:type="paragraph" w:styleId="Heading4">
    <w:name w:val="heading 4"/>
    <w:basedOn w:val="Normal"/>
    <w:next w:val="Normal"/>
    <w:pPr>
      <w:keepNext w:val="1"/>
      <w:keepLines w:val="1"/>
      <w:pageBreakBefore w:val="0"/>
      <w:spacing w:before="240" w:after="40" w:lineRule="auto"/>
    </w:pPr>
    <w:rPr>
      <w:b w:val="1"/>
      <w:bCs w:val="1"/>
      <w:sz w:val="24"/>
      <w:szCs w:val="24"/>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character" w:styleId="DefaultParagraphFont" w:default="1">
    <w:uiPriority w:val="1"/>
    <w:name w:val="Default Paragraph Font"/>
    <w:semiHidden/>
    <w:unhideWhenUsed/>
    <w:rsid w:val="654048B6"/>
  </w:style>
  <w:style w:type="character" w:styleId="Hyperlink">
    <w:uiPriority w:val="99"/>
    <w:name w:val="Hyperlink"/>
    <w:basedOn w:val="DefaultParagraphFont"/>
    <w:unhideWhenUsed/>
    <w:rsid w:val="654048B6"/>
    <w:rPr>
      <w:color w:val="0000FF"/>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comments" Target="comments.xml" Id="rId2" /><Relationship Type="http://schemas.openxmlformats.org/officeDocument/2006/relationships/settings" Target="settings.xml" Id="rId3" /><Relationship Type="http://schemas.openxmlformats.org/officeDocument/2006/relationships/fontTable" Target="fontTable.xml" Id="rId4" /><Relationship Type="http://schemas.openxmlformats.org/officeDocument/2006/relationships/footer" Target="footer1.xml" Id="rId9" /><Relationship Type="http://schemas.openxmlformats.org/officeDocument/2006/relationships/numbering" Target="numbering.xml" Id="rId5" /><Relationship Type="http://schemas.openxmlformats.org/officeDocument/2006/relationships/styles" Target="styles.xml" Id="rId6" /><Relationship Type="http://schemas.openxmlformats.org/officeDocument/2006/relationships/customXml" Target="../customXML/item1.xml" Id="rId7" /><Relationship Type="http://schemas.microsoft.com/office/2011/relationships/commentsExtended" Target="commentsExtended.xml" Id="rId8" /><Relationship Type="http://schemas.microsoft.com/office/2016/09/relationships/commentsIds" Target="commentsIds.xml" Id="Rb4a60d5d8f8b4665" /><Relationship Type="http://schemas.microsoft.com/office/2018/08/relationships/commentsExtensible" Target="commentsExtensible.xml" Id="R3a484a7eab2e4000" /><Relationship Type="http://schemas.microsoft.com/office/2011/relationships/people" Target="people.xml" Id="Rc4f542def9914c9e" /><Relationship Type="http://schemas.openxmlformats.org/officeDocument/2006/relationships/image" Target="/media/image.png" Id="rId807398348" /><Relationship Type="http://schemas.openxmlformats.org/officeDocument/2006/relationships/image" Target="/media/image2.png" Id="rId2108708274" /><Relationship Type="http://schemas.openxmlformats.org/officeDocument/2006/relationships/image" Target="/media/image3.png" Id="rId951239422" /><Relationship Type="http://schemas.openxmlformats.org/officeDocument/2006/relationships/image" Target="/media/image4.png" Id="rId320869943" /><Relationship Type="http://schemas.openxmlformats.org/officeDocument/2006/relationships/image" Target="/media/image5.png" Id="rId1680916046" /><Relationship Type="http://schemas.openxmlformats.org/officeDocument/2006/relationships/image" Target="/media/image6.png" Id="rId1602592515" /><Relationship Type="http://schemas.openxmlformats.org/officeDocument/2006/relationships/image" Target="/media/image7.png" Id="rId1864353218" /><Relationship Type="http://schemas.openxmlformats.org/officeDocument/2006/relationships/image" Target="/media/image8.png" Id="rId1055621359" /><Relationship Type="http://schemas.openxmlformats.org/officeDocument/2006/relationships/image" Target="/media/image9.png" Id="rId1278854744" /><Relationship Type="http://schemas.openxmlformats.org/officeDocument/2006/relationships/image" Target="/media/imagea.png" Id="rId12988408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WBQDzzdLomitQdoTp+Xu8qCXbg==">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