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86B73" w14:textId="77777777" w:rsidR="006751DB" w:rsidRPr="00353FBA" w:rsidRDefault="006751DB" w:rsidP="00353FBA">
      <w:pPr>
        <w:pStyle w:val="Heading1"/>
        <w:rPr>
          <w:rFonts w:ascii="Times New Roman" w:hAnsi="Times New Roman" w:cs="Times New Roman"/>
          <w:color w:val="000000" w:themeColor="text1"/>
          <w:sz w:val="24"/>
          <w:szCs w:val="24"/>
        </w:rPr>
      </w:pPr>
      <w:r w:rsidRPr="00353FBA">
        <w:rPr>
          <w:rFonts w:ascii="Times New Roman" w:hAnsi="Times New Roman" w:cs="Times New Roman"/>
          <w:color w:val="000000" w:themeColor="text1"/>
          <w:sz w:val="24"/>
          <w:szCs w:val="24"/>
        </w:rPr>
        <w:t>Purpose of Analysis</w:t>
      </w:r>
    </w:p>
    <w:p w14:paraId="00D7B1BD" w14:textId="77777777" w:rsidR="00353FBA" w:rsidRPr="00353FBA" w:rsidRDefault="006751DB" w:rsidP="00353FBA">
      <w:pPr>
        <w:pStyle w:val="isselectedend"/>
        <w:rPr>
          <w:color w:val="000000"/>
        </w:rPr>
      </w:pPr>
      <w:r>
        <w:rPr>
          <w:color w:val="000000"/>
        </w:rPr>
        <w:tab/>
      </w:r>
      <w:r w:rsidR="00353FBA" w:rsidRPr="00353FBA">
        <w:rPr>
          <w:color w:val="000000"/>
        </w:rPr>
        <w:t xml:space="preserve">This analysis compares AI-generated cybersecurity maturity assessments conducted on two organizational policy datasets: the U.S. Department of Education (public sector) and the Scott &amp; Scott Written Information Security Policy (WISP) (private sector). The objective is to determine whether organizational context influences cybersecurity maturity assessments across multiple cybersecurity frameworks while improving the reliability of the analysis </w:t>
      </w:r>
      <w:proofErr w:type="gramStart"/>
      <w:r w:rsidR="00353FBA" w:rsidRPr="00353FBA">
        <w:rPr>
          <w:color w:val="000000"/>
        </w:rPr>
        <w:t>through the use of</w:t>
      </w:r>
      <w:proofErr w:type="gramEnd"/>
      <w:r w:rsidR="00353FBA" w:rsidRPr="00353FBA">
        <w:rPr>
          <w:color w:val="000000"/>
        </w:rPr>
        <w:t xml:space="preserve"> multiple independent large language models (LLMs).</w:t>
      </w:r>
    </w:p>
    <w:p w14:paraId="6DCA3E9A" w14:textId="77777777" w:rsidR="00353FBA" w:rsidRPr="00353FBA" w:rsidRDefault="00353FBA" w:rsidP="00353FBA">
      <w:pPr>
        <w:pStyle w:val="isselectedend"/>
        <w:rPr>
          <w:color w:val="000000"/>
        </w:rPr>
      </w:pPr>
      <w:r w:rsidRPr="00353FBA">
        <w:rPr>
          <w:color w:val="000000"/>
        </w:rPr>
        <w:t>Specifically, the analysis aims to:</w:t>
      </w:r>
    </w:p>
    <w:p w14:paraId="02D09AD4" w14:textId="77777777" w:rsidR="00353FBA" w:rsidRPr="00353FBA" w:rsidRDefault="00353FBA" w:rsidP="00353FBA">
      <w:pPr>
        <w:pStyle w:val="isselectedend"/>
        <w:numPr>
          <w:ilvl w:val="0"/>
          <w:numId w:val="23"/>
        </w:numPr>
        <w:rPr>
          <w:color w:val="000000"/>
        </w:rPr>
      </w:pPr>
      <w:r w:rsidRPr="00353FBA">
        <w:rPr>
          <w:color w:val="000000"/>
        </w:rPr>
        <w:t>Compare cybersecurity maturity assessments between a public-sector and a private-sector organization.</w:t>
      </w:r>
    </w:p>
    <w:p w14:paraId="17D05FDB" w14:textId="77777777" w:rsidR="00353FBA" w:rsidRPr="00353FBA" w:rsidRDefault="00353FBA" w:rsidP="00353FBA">
      <w:pPr>
        <w:pStyle w:val="isselectedend"/>
        <w:numPr>
          <w:ilvl w:val="0"/>
          <w:numId w:val="23"/>
        </w:numPr>
        <w:rPr>
          <w:color w:val="000000"/>
        </w:rPr>
      </w:pPr>
      <w:r w:rsidRPr="00353FBA">
        <w:rPr>
          <w:color w:val="000000"/>
        </w:rPr>
        <w:t>Evaluate whether organizational context influences maturity assessments across governance, operational, and technical cybersecurity frameworks.</w:t>
      </w:r>
    </w:p>
    <w:p w14:paraId="2FFA07D0" w14:textId="77777777" w:rsidR="00353FBA" w:rsidRPr="00353FBA" w:rsidRDefault="00353FBA" w:rsidP="00353FBA">
      <w:pPr>
        <w:pStyle w:val="isselectedend"/>
        <w:numPr>
          <w:ilvl w:val="0"/>
          <w:numId w:val="23"/>
        </w:numPr>
        <w:rPr>
          <w:color w:val="000000"/>
        </w:rPr>
      </w:pPr>
      <w:r w:rsidRPr="00353FBA">
        <w:rPr>
          <w:color w:val="000000"/>
        </w:rPr>
        <w:t>Determine whether differences in policy documentation result in meaningful differences in cybersecurity maturity assessments.</w:t>
      </w:r>
    </w:p>
    <w:p w14:paraId="269A200F" w14:textId="57C6E7F7" w:rsidR="006751DB" w:rsidRPr="007F2002" w:rsidRDefault="00353FBA" w:rsidP="006751DB">
      <w:pPr>
        <w:pStyle w:val="isselectedend"/>
        <w:numPr>
          <w:ilvl w:val="0"/>
          <w:numId w:val="23"/>
        </w:numPr>
        <w:rPr>
          <w:color w:val="000000"/>
        </w:rPr>
      </w:pPr>
      <w:r w:rsidRPr="00353FBA">
        <w:rPr>
          <w:color w:val="000000"/>
        </w:rPr>
        <w:t xml:space="preserve">Assess whether organizations operating in different sectors exhibit comparable levels of documented cybersecurity </w:t>
      </w:r>
      <w:r w:rsidRPr="00353FBA">
        <w:rPr>
          <w:color w:val="000000"/>
        </w:rPr>
        <w:t>maturity.</w:t>
      </w:r>
    </w:p>
    <w:p w14:paraId="4A76721A" w14:textId="77777777" w:rsidR="006751DB" w:rsidRPr="00353FBA" w:rsidRDefault="006751DB" w:rsidP="00353FBA">
      <w:pPr>
        <w:pStyle w:val="Heading2"/>
        <w:rPr>
          <w:rFonts w:ascii="Times New Roman" w:hAnsi="Times New Roman" w:cs="Times New Roman"/>
          <w:sz w:val="24"/>
          <w:szCs w:val="24"/>
        </w:rPr>
      </w:pPr>
      <w:r w:rsidRPr="00353FBA">
        <w:rPr>
          <w:rFonts w:ascii="Times New Roman" w:hAnsi="Times New Roman" w:cs="Times New Roman"/>
          <w:color w:val="000000" w:themeColor="text1"/>
          <w:sz w:val="24"/>
          <w:szCs w:val="24"/>
        </w:rPr>
        <w:t>Methodology</w:t>
      </w:r>
    </w:p>
    <w:p w14:paraId="5519AFAA" w14:textId="77777777" w:rsidR="008E207C" w:rsidRDefault="008E207C" w:rsidP="006751DB">
      <w:pPr>
        <w:rPr>
          <w:rFonts w:ascii="Times New Roman" w:hAnsi="Times New Roman" w:cs="Times New Roman"/>
        </w:rPr>
      </w:pPr>
    </w:p>
    <w:p w14:paraId="71CB22FE" w14:textId="4C1AAFEF" w:rsid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Each organization's policy documentation was independently evaluated using the same AI-assisted cybersecurity maturity assessment methodology across nine cybersecurity frameworks. The evaluated frameworks included the NIST Cybersecurity Framework (NIST CSF), NIST SP 800-53, ISO/IEC 27001, CIS Critical Security Controls (CIS CSC), Cybersecurity Maturity Model Certification (CMMC), HIPAA Security Rule, PCI DSS, CSA Cloud Controls Matrix (CSA CMM), and the FTC Safeguards Rule.</w:t>
      </w:r>
    </w:p>
    <w:p w14:paraId="23FB7B58" w14:textId="77777777" w:rsidR="007F2002" w:rsidRPr="00353FBA" w:rsidRDefault="007F2002" w:rsidP="00353FBA">
      <w:pPr>
        <w:rPr>
          <w:rFonts w:ascii="Times New Roman" w:hAnsi="Times New Roman" w:cs="Times New Roman"/>
        </w:rPr>
      </w:pPr>
    </w:p>
    <w:p w14:paraId="190A51AD" w14:textId="1C87D383" w:rsidR="00353FBA" w:rsidRPr="00353FBA" w:rsidRDefault="007F2002" w:rsidP="00353FBA">
      <w:pPr>
        <w:rPr>
          <w:rFonts w:ascii="Times New Roman" w:hAnsi="Times New Roman" w:cs="Times New Roman"/>
        </w:rPr>
      </w:pPr>
      <w:r>
        <w:rPr>
          <w:rFonts w:ascii="Times New Roman" w:hAnsi="Times New Roman" w:cs="Times New Roman"/>
        </w:rPr>
        <w:tab/>
      </w:r>
      <w:r w:rsidR="00353FBA" w:rsidRPr="00353FBA">
        <w:rPr>
          <w:rFonts w:ascii="Times New Roman" w:hAnsi="Times New Roman" w:cs="Times New Roman"/>
        </w:rPr>
        <w:t>To improve the robustness of the assessment process, three independent large language models (LLMs)</w:t>
      </w:r>
      <w:r>
        <w:rPr>
          <w:rFonts w:ascii="Times New Roman" w:hAnsi="Times New Roman" w:cs="Times New Roman"/>
        </w:rPr>
        <w:t xml:space="preserve">, </w:t>
      </w:r>
      <w:r w:rsidR="00353FBA" w:rsidRPr="00353FBA">
        <w:rPr>
          <w:rFonts w:ascii="Times New Roman" w:hAnsi="Times New Roman" w:cs="Times New Roman"/>
        </w:rPr>
        <w:t>Claude 4, ChatGPT 4.1, and Llama 4.0</w:t>
      </w:r>
      <w:r>
        <w:rPr>
          <w:rFonts w:ascii="Times New Roman" w:hAnsi="Times New Roman" w:cs="Times New Roman"/>
        </w:rPr>
        <w:t xml:space="preserve"> </w:t>
      </w:r>
      <w:r w:rsidR="00353FBA" w:rsidRPr="00353FBA">
        <w:rPr>
          <w:rFonts w:ascii="Times New Roman" w:hAnsi="Times New Roman" w:cs="Times New Roman"/>
        </w:rPr>
        <w:t>were used to evaluate the same policy documentation. Each model analyzed both the Scott &amp; Scott WISP (private sector) and the U.S. Department of Education (public sector) policies using an identical assessment prompt and assigned maturity scores on a standardized 0–5 scale.</w:t>
      </w:r>
    </w:p>
    <w:p w14:paraId="5336B537" w14:textId="77777777" w:rsidR="008E207C" w:rsidRDefault="008E207C" w:rsidP="006751DB">
      <w:pPr>
        <w:rPr>
          <w:rFonts w:ascii="Times New Roman" w:hAnsi="Times New Roman" w:cs="Times New Roman"/>
        </w:rPr>
      </w:pPr>
    </w:p>
    <w:p w14:paraId="7FB11968" w14:textId="129D1DC7" w:rsidR="008E207C" w:rsidRDefault="008E207C" w:rsidP="006751DB">
      <w:pPr>
        <w:rPr>
          <w:rFonts w:ascii="Times New Roman" w:hAnsi="Times New Roman" w:cs="Times New Roman"/>
        </w:rPr>
      </w:pPr>
      <w:r>
        <w:rPr>
          <w:rFonts w:ascii="Times New Roman" w:hAnsi="Times New Roman" w:cs="Times New Roman"/>
        </w:rPr>
        <w:tab/>
      </w:r>
      <w:r w:rsidRPr="008E207C">
        <w:rPr>
          <w:rFonts w:ascii="Times New Roman" w:hAnsi="Times New Roman" w:cs="Times New Roman"/>
        </w:rPr>
        <w:t>Tables 1 and 2 present the maturity scores assigned by each LLM for the public-sector and private-sector organizations, respectively. The </w:t>
      </w:r>
      <w:r w:rsidR="007F2002">
        <w:rPr>
          <w:rFonts w:ascii="Times New Roman" w:hAnsi="Times New Roman" w:cs="Times New Roman"/>
        </w:rPr>
        <w:t>“</w:t>
      </w:r>
      <w:r w:rsidRPr="007F2002">
        <w:rPr>
          <w:rFonts w:ascii="Times New Roman" w:hAnsi="Times New Roman" w:cs="Times New Roman"/>
          <w:i/>
          <w:iCs/>
        </w:rPr>
        <w:t>Control Assessed (n)</w:t>
      </w:r>
      <w:r w:rsidR="007F2002" w:rsidRPr="007F2002">
        <w:rPr>
          <w:rFonts w:ascii="Times New Roman" w:hAnsi="Times New Roman" w:cs="Times New Roman"/>
          <w:i/>
          <w:iCs/>
        </w:rPr>
        <w:t>”</w:t>
      </w:r>
      <w:r w:rsidRPr="008E207C">
        <w:rPr>
          <w:rFonts w:ascii="Times New Roman" w:hAnsi="Times New Roman" w:cs="Times New Roman"/>
        </w:rPr>
        <w:t> column indicates the number of controls evaluated within each cybersecurity framework, providing context for the scope of each maturity assessment. Framework averages represent the arithmetic mean of the maturity scores assigned across all controls within each framework by each language model.</w:t>
      </w:r>
    </w:p>
    <w:p w14:paraId="6DBF443F" w14:textId="77777777" w:rsidR="008E207C" w:rsidRDefault="008E207C" w:rsidP="006751DB">
      <w:pPr>
        <w:rPr>
          <w:rFonts w:ascii="Times New Roman" w:hAnsi="Times New Roman" w:cs="Times New Roman"/>
        </w:rPr>
      </w:pPr>
    </w:p>
    <w:p w14:paraId="30F10ACB" w14:textId="539F8AB3" w:rsidR="008E207C" w:rsidRPr="006751DB" w:rsidRDefault="008E207C" w:rsidP="006751DB">
      <w:pPr>
        <w:rPr>
          <w:rFonts w:ascii="Times New Roman" w:hAnsi="Times New Roman" w:cs="Times New Roman"/>
        </w:rPr>
      </w:pPr>
      <w:r>
        <w:rPr>
          <w:rFonts w:ascii="Times New Roman" w:hAnsi="Times New Roman" w:cs="Times New Roman"/>
        </w:rPr>
        <w:tab/>
      </w:r>
      <w:r w:rsidRPr="008E207C">
        <w:rPr>
          <w:rFonts w:ascii="Times New Roman" w:hAnsi="Times New Roman" w:cs="Times New Roman"/>
        </w:rPr>
        <w:t>The maturity scores reported in Tables 1 and 2 provide the basis for the comparative analysis presented in Table 3, which evaluates the extent to which organizational context (public versus private sector) influences cybersecurity maturity assessments across the three AI models.</w:t>
      </w:r>
    </w:p>
    <w:p w14:paraId="61CF1351" w14:textId="77777777" w:rsidR="006751DB" w:rsidRPr="006751DB" w:rsidRDefault="006751DB" w:rsidP="006751DB">
      <w:pPr>
        <w:rPr>
          <w:rFonts w:ascii="Times New Roman" w:hAnsi="Times New Roman" w:cs="Times New Roman"/>
          <w:b/>
          <w:bCs/>
        </w:rPr>
      </w:pPr>
    </w:p>
    <w:p w14:paraId="677EF150" w14:textId="4DDCA23D" w:rsidR="00353FBA" w:rsidRDefault="006751DB" w:rsidP="008E207C">
      <w:pPr>
        <w:rPr>
          <w:rFonts w:ascii="Times New Roman" w:eastAsia="Times New Roman" w:hAnsi="Times New Roman" w:cs="Times New Roman"/>
          <w:color w:val="000000"/>
          <w:kern w:val="0"/>
          <w14:ligatures w14:val="none"/>
        </w:rPr>
      </w:pPr>
      <w:r w:rsidRPr="006751DB">
        <w:rPr>
          <w:rFonts w:ascii="Times New Roman" w:hAnsi="Times New Roman" w:cs="Times New Roman"/>
        </w:rPr>
        <w:lastRenderedPageBreak/>
        <w:tab/>
      </w:r>
      <w:r w:rsidR="007F2002" w:rsidRPr="007F2002">
        <w:rPr>
          <w:rFonts w:ascii="Times New Roman" w:hAnsi="Times New Roman" w:cs="Times New Roman"/>
        </w:rPr>
        <w:t>For each cybersecurity framework, a </w:t>
      </w:r>
      <w:r w:rsidR="007F2002" w:rsidRPr="007F2002">
        <w:rPr>
          <w:rFonts w:ascii="Times New Roman" w:hAnsi="Times New Roman" w:cs="Times New Roman"/>
          <w:b/>
          <w:bCs/>
          <w:i/>
          <w:iCs/>
        </w:rPr>
        <w:t>Private Sector Mean Score</w:t>
      </w:r>
      <w:r w:rsidR="007F2002" w:rsidRPr="007F2002">
        <w:rPr>
          <w:rFonts w:ascii="Times New Roman" w:hAnsi="Times New Roman" w:cs="Times New Roman"/>
        </w:rPr>
        <w:t> and a </w:t>
      </w:r>
      <w:r w:rsidR="007F2002" w:rsidRPr="007F2002">
        <w:rPr>
          <w:rFonts w:ascii="Times New Roman" w:hAnsi="Times New Roman" w:cs="Times New Roman"/>
          <w:b/>
          <w:bCs/>
          <w:i/>
          <w:iCs/>
        </w:rPr>
        <w:t>Public Sector Mean Score</w:t>
      </w:r>
      <w:r w:rsidR="007F2002" w:rsidRPr="007F2002">
        <w:rPr>
          <w:rFonts w:ascii="Times New Roman" w:hAnsi="Times New Roman" w:cs="Times New Roman"/>
        </w:rPr>
        <w:t> were calculated by averaging the maturity scores assigned by Claude 4, ChatGPT 4.1, and Llama 4.0:</w:t>
      </w:r>
      <w:r w:rsidR="00353FBA">
        <w:rPr>
          <w:rFonts w:ascii="Times New Roman" w:eastAsia="Times New Roman" w:hAnsi="Times New Roman" w:cs="Times New Roman"/>
          <w:color w:val="000000"/>
          <w:kern w:val="0"/>
          <w14:ligatures w14:val="none"/>
        </w:rPr>
        <w:t xml:space="preserve"> </w:t>
      </w:r>
    </w:p>
    <w:p w14:paraId="1E2CEE90" w14:textId="77777777" w:rsidR="00353FBA" w:rsidRDefault="00353FBA" w:rsidP="008E207C">
      <w:pPr>
        <w:rPr>
          <w:rFonts w:ascii="Times New Roman" w:eastAsia="Times New Roman" w:hAnsi="Times New Roman" w:cs="Times New Roman"/>
          <w:color w:val="000000"/>
          <w:kern w:val="0"/>
          <w14:ligatures w14:val="none"/>
        </w:rPr>
      </w:pPr>
    </w:p>
    <w:p w14:paraId="7E47E77B" w14:textId="694EA468" w:rsidR="00353FBA" w:rsidRPr="008E207C" w:rsidRDefault="00353FBA" w:rsidP="007F2002">
      <w:pPr>
        <w:jc w:val="center"/>
        <w:rPr>
          <w:rFonts w:ascii="Times New Roman" w:hAnsi="Times New Roman" w:cs="Times New Roman"/>
        </w:rPr>
      </w:pPr>
      <w:r>
        <w:rPr>
          <w:rFonts w:ascii="Times New Roman" w:hAnsi="Times New Roman" w:cs="Times New Roman"/>
        </w:rPr>
        <w:t xml:space="preserve">Sector </w:t>
      </w:r>
      <w:r w:rsidR="007F2002">
        <w:rPr>
          <w:rFonts w:ascii="Times New Roman" w:hAnsi="Times New Roman" w:cs="Times New Roman"/>
        </w:rPr>
        <w:t>Mean</w:t>
      </w:r>
      <w:r>
        <w:rPr>
          <w:rFonts w:ascii="Times New Roman" w:hAnsi="Times New Roman" w:cs="Times New Roman"/>
        </w:rPr>
        <w:t xml:space="preserve"> Score = </w:t>
      </w:r>
      <w:proofErr w:type="spellStart"/>
      <w:r>
        <w:rPr>
          <w:rFonts w:ascii="Times New Roman" w:hAnsi="Times New Roman" w:cs="Times New Roman"/>
        </w:rPr>
        <w:t>Chatgpt+Claude+Llama</w:t>
      </w:r>
      <w:proofErr w:type="spellEnd"/>
      <w:r w:rsidR="007F2002">
        <w:rPr>
          <w:rFonts w:ascii="Times New Roman" w:hAnsi="Times New Roman" w:cs="Times New Roman"/>
        </w:rPr>
        <w:t xml:space="preserve"> </w:t>
      </w:r>
      <w:r>
        <w:rPr>
          <w:rFonts w:ascii="Times New Roman" w:hAnsi="Times New Roman" w:cs="Times New Roman"/>
        </w:rPr>
        <w:t>/3</w:t>
      </w:r>
    </w:p>
    <w:p w14:paraId="5D3D5529" w14:textId="177AA1BD" w:rsidR="008E207C" w:rsidRPr="008E207C" w:rsidRDefault="008E207C" w:rsidP="008E207C">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007F2002">
        <w:rPr>
          <w:rFonts w:ascii="Times New Roman" w:eastAsia="Times New Roman" w:hAnsi="Times New Roman" w:cs="Times New Roman"/>
          <w:color w:val="000000"/>
          <w:kern w:val="0"/>
          <w14:ligatures w14:val="none"/>
        </w:rPr>
        <w:t xml:space="preserve">The </w:t>
      </w:r>
      <w:r w:rsidRPr="007F2002">
        <w:rPr>
          <w:rFonts w:ascii="Times New Roman" w:eastAsia="Times New Roman" w:hAnsi="Times New Roman" w:cs="Times New Roman"/>
          <w:b/>
          <w:bCs/>
          <w:i/>
          <w:iCs/>
          <w:color w:val="000000"/>
          <w:kern w:val="0"/>
          <w14:ligatures w14:val="none"/>
        </w:rPr>
        <w:t>Organizational Difference (Δ)</w:t>
      </w:r>
      <w:r w:rsidRPr="008E207C">
        <w:rPr>
          <w:rFonts w:ascii="Times New Roman" w:eastAsia="Times New Roman" w:hAnsi="Times New Roman" w:cs="Times New Roman"/>
          <w:color w:val="000000"/>
          <w:kern w:val="0"/>
          <w14:ligatures w14:val="none"/>
        </w:rPr>
        <w:t> was</w:t>
      </w:r>
      <w:r w:rsidR="007F2002">
        <w:rPr>
          <w:rFonts w:ascii="Times New Roman" w:eastAsia="Times New Roman" w:hAnsi="Times New Roman" w:cs="Times New Roman"/>
          <w:color w:val="000000"/>
          <w:kern w:val="0"/>
          <w14:ligatures w14:val="none"/>
        </w:rPr>
        <w:t xml:space="preserve"> then</w:t>
      </w:r>
      <w:r w:rsidRPr="008E207C">
        <w:rPr>
          <w:rFonts w:ascii="Times New Roman" w:eastAsia="Times New Roman" w:hAnsi="Times New Roman" w:cs="Times New Roman"/>
          <w:color w:val="000000"/>
          <w:kern w:val="0"/>
          <w14:ligatures w14:val="none"/>
        </w:rPr>
        <w:t xml:space="preserve"> calculated as the absolute difference between the private-sector and public-sector maturity scores:</w:t>
      </w:r>
    </w:p>
    <w:p w14:paraId="14F8F611" w14:textId="060AD9B5" w:rsidR="008E207C" w:rsidRPr="008E207C" w:rsidRDefault="008E207C" w:rsidP="008E207C">
      <w:pPr>
        <w:jc w:val="center"/>
        <w:rPr>
          <w:rFonts w:ascii="Times New Roman" w:eastAsia="Times New Roman" w:hAnsi="Times New Roman" w:cs="Times New Roman"/>
          <w:kern w:val="0"/>
          <w14:ligatures w14:val="none"/>
        </w:rPr>
      </w:pPr>
      <w:r w:rsidRPr="008E207C">
        <w:rPr>
          <w:rFonts w:ascii="Times New Roman" w:eastAsia="Times New Roman" w:hAnsi="Times New Roman" w:cs="Times New Roman"/>
          <w:color w:val="000000"/>
          <w:kern w:val="0"/>
          <w14:ligatures w14:val="none"/>
        </w:rPr>
        <w:t>Δ​=</w:t>
      </w:r>
      <w:r w:rsidRPr="008E207C">
        <w:rPr>
          <w:rFonts w:ascii="Cambria Math" w:eastAsia="Times New Roman" w:hAnsi="Cambria Math" w:cs="Cambria Math"/>
          <w:color w:val="000000"/>
          <w:kern w:val="0"/>
          <w14:ligatures w14:val="none"/>
        </w:rPr>
        <w:t>∣</w:t>
      </w:r>
      <w:r w:rsidRPr="008E207C">
        <w:rPr>
          <w:rFonts w:ascii="Times New Roman" w:eastAsia="Times New Roman" w:hAnsi="Times New Roman" w:cs="Times New Roman"/>
          <w:color w:val="000000"/>
          <w:kern w:val="0"/>
          <w14:ligatures w14:val="none"/>
        </w:rPr>
        <w:t>Private</w:t>
      </w:r>
      <w:r w:rsidR="007F2002">
        <w:rPr>
          <w:rFonts w:ascii="Times New Roman" w:eastAsia="Times New Roman" w:hAnsi="Times New Roman" w:cs="Times New Roman"/>
          <w:color w:val="000000"/>
          <w:kern w:val="0"/>
          <w14:ligatures w14:val="none"/>
        </w:rPr>
        <w:t xml:space="preserve"> Sector Mean Score – Public Sector Mean Score</w:t>
      </w:r>
      <w:r w:rsidRPr="008E207C">
        <w:rPr>
          <w:rFonts w:ascii="Cambria Math" w:eastAsia="Times New Roman" w:hAnsi="Cambria Math" w:cs="Cambria Math"/>
          <w:color w:val="000000"/>
          <w:kern w:val="0"/>
          <w14:ligatures w14:val="none"/>
        </w:rPr>
        <w:t>∣</w:t>
      </w:r>
    </w:p>
    <w:p w14:paraId="679E3855" w14:textId="4537F0AD" w:rsidR="00353FBA" w:rsidRPr="00353FBA" w:rsidRDefault="00353FBA" w:rsidP="00353FBA">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353FBA">
        <w:rPr>
          <w:rFonts w:ascii="Times New Roman" w:eastAsia="Times New Roman" w:hAnsi="Times New Roman" w:cs="Times New Roman"/>
          <w:color w:val="000000"/>
          <w:kern w:val="0"/>
          <w14:ligatures w14:val="none"/>
        </w:rPr>
        <w:t>Lower values indicate that both organizations achieved comparable maturity assessments despite differences in organizational context and policy documentation, whereas higher values indicate that the framework was more sensitive to organizational context.</w:t>
      </w:r>
    </w:p>
    <w:p w14:paraId="6FD642EF" w14:textId="12ACC218" w:rsidR="00353FBA" w:rsidRDefault="00353FBA" w:rsidP="006751DB">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353FBA">
        <w:rPr>
          <w:rFonts w:ascii="Times New Roman" w:eastAsia="Times New Roman" w:hAnsi="Times New Roman" w:cs="Times New Roman"/>
          <w:color w:val="000000"/>
          <w:kern w:val="0"/>
          <w14:ligatures w14:val="none"/>
        </w:rPr>
        <w:t>This analytical approach was selected because the primary objective of the study was to evaluate the effect of </w:t>
      </w:r>
      <w:r w:rsidRPr="00353FBA">
        <w:rPr>
          <w:rFonts w:ascii="Times New Roman" w:eastAsia="Times New Roman" w:hAnsi="Times New Roman" w:cs="Times New Roman"/>
          <w:b/>
          <w:bCs/>
          <w:color w:val="000000"/>
          <w:kern w:val="0"/>
          <w14:ligatures w14:val="none"/>
        </w:rPr>
        <w:t>organizational context</w:t>
      </w:r>
      <w:r w:rsidRPr="00353FBA">
        <w:rPr>
          <w:rFonts w:ascii="Times New Roman" w:eastAsia="Times New Roman" w:hAnsi="Times New Roman" w:cs="Times New Roman"/>
          <w:color w:val="000000"/>
          <w:kern w:val="0"/>
          <w14:ligatures w14:val="none"/>
        </w:rPr>
        <w:t xml:space="preserve"> rather than compare the performance of individual AI models. Prior to conducting the analysis, it was expected that the differences between the public- and private-sector environments would produce substantial variation in maturity assessments due to their distinct governance structures, regulatory obligations, and security priorities. Averaging the assessments generated by three independent LLMs reduced model-specific bias while providing a more representative estimate of each organization's documented cybersecurity </w:t>
      </w:r>
      <w:r w:rsidRPr="00353FBA">
        <w:rPr>
          <w:rFonts w:ascii="Times New Roman" w:eastAsia="Times New Roman" w:hAnsi="Times New Roman" w:cs="Times New Roman"/>
          <w:color w:val="000000"/>
          <w:kern w:val="0"/>
          <w14:ligatures w14:val="none"/>
        </w:rPr>
        <w:t>maturity.</w:t>
      </w:r>
    </w:p>
    <w:p w14:paraId="4D5A2704" w14:textId="77777777" w:rsidR="007F2002" w:rsidRDefault="007F2002" w:rsidP="006751DB">
      <w:pPr>
        <w:spacing w:before="100" w:beforeAutospacing="1" w:after="100" w:afterAutospacing="1"/>
        <w:rPr>
          <w:rFonts w:ascii="Times New Roman" w:eastAsia="Times New Roman" w:hAnsi="Times New Roman" w:cs="Times New Roman"/>
          <w:color w:val="000000"/>
          <w:kern w:val="0"/>
          <w14:ligatures w14:val="none"/>
        </w:rPr>
      </w:pPr>
    </w:p>
    <w:p w14:paraId="6813112F" w14:textId="09D2B65A" w:rsidR="006751DB" w:rsidRPr="00353FBA" w:rsidRDefault="006751DB" w:rsidP="00353FBA">
      <w:pPr>
        <w:pStyle w:val="Heading3"/>
        <w:rPr>
          <w:b w:val="0"/>
          <w:bCs w:val="0"/>
          <w:sz w:val="24"/>
          <w:szCs w:val="24"/>
        </w:rPr>
      </w:pPr>
      <w:bookmarkStart w:id="0" w:name="_Evidence"/>
      <w:bookmarkEnd w:id="0"/>
      <w:r w:rsidRPr="00353FBA">
        <w:rPr>
          <w:b w:val="0"/>
          <w:bCs w:val="0"/>
          <w:sz w:val="24"/>
          <w:szCs w:val="24"/>
        </w:rPr>
        <w:t>Evidence</w:t>
      </w:r>
    </w:p>
    <w:p w14:paraId="62DC4854" w14:textId="73AA40FB" w:rsidR="00353FBA" w:rsidRDefault="00353FBA" w:rsidP="006751DB">
      <w:pPr>
        <w:spacing w:before="100" w:beforeAutospacing="1" w:after="100" w:afterAutospacing="1"/>
        <w:rPr>
          <w:rFonts w:ascii="Times New Roman" w:hAnsi="Times New Roman" w:cs="Times New Roman"/>
        </w:rPr>
      </w:pPr>
      <w:r>
        <w:rPr>
          <w:rFonts w:ascii="Times New Roman" w:hAnsi="Times New Roman" w:cs="Times New Roman"/>
          <w:i/>
          <w:iCs/>
          <w:color w:val="000000" w:themeColor="text1"/>
        </w:rPr>
        <w:tab/>
        <w:t xml:space="preserve">Table 1 </w:t>
      </w:r>
      <w:r w:rsidRPr="00353FBA">
        <w:rPr>
          <w:rFonts w:ascii="Times New Roman" w:hAnsi="Times New Roman" w:cs="Times New Roman"/>
        </w:rPr>
        <w:t>and</w:t>
      </w:r>
      <w:r>
        <w:rPr>
          <w:rFonts w:ascii="Times New Roman" w:hAnsi="Times New Roman" w:cs="Times New Roman"/>
        </w:rPr>
        <w:t xml:space="preserve"> </w:t>
      </w:r>
      <w:r w:rsidRPr="00353FBA">
        <w:rPr>
          <w:rFonts w:ascii="Times New Roman" w:hAnsi="Times New Roman" w:cs="Times New Roman"/>
          <w:i/>
          <w:iCs/>
        </w:rPr>
        <w:t>Table</w:t>
      </w:r>
      <w:r w:rsidRPr="00353FBA">
        <w:rPr>
          <w:rFonts w:ascii="Times New Roman" w:hAnsi="Times New Roman" w:cs="Times New Roman"/>
          <w:i/>
          <w:iCs/>
        </w:rPr>
        <w:t xml:space="preserve"> 2</w:t>
      </w:r>
      <w:r w:rsidRPr="00353FBA">
        <w:rPr>
          <w:rFonts w:ascii="Times New Roman" w:hAnsi="Times New Roman" w:cs="Times New Roman"/>
        </w:rPr>
        <w:t xml:space="preserve"> present the maturity scores independently assigned by Claude 4, ChatGPT 4.1, and Llama 4.0 for each cybersecurity framework. The </w:t>
      </w:r>
      <w:r w:rsidRPr="00353FBA">
        <w:rPr>
          <w:rFonts w:ascii="Times New Roman" w:hAnsi="Times New Roman" w:cs="Times New Roman"/>
          <w:i/>
          <w:iCs/>
        </w:rPr>
        <w:t>“</w:t>
      </w:r>
      <w:r w:rsidRPr="00353FBA">
        <w:rPr>
          <w:rFonts w:ascii="Times New Roman" w:hAnsi="Times New Roman" w:cs="Times New Roman"/>
          <w:i/>
          <w:iCs/>
        </w:rPr>
        <w:t>Control Assessed (n)</w:t>
      </w:r>
      <w:r w:rsidRPr="00353FBA">
        <w:rPr>
          <w:rFonts w:ascii="Times New Roman" w:hAnsi="Times New Roman" w:cs="Times New Roman"/>
          <w:i/>
          <w:iCs/>
        </w:rPr>
        <w:t>”</w:t>
      </w:r>
      <w:r w:rsidRPr="00353FBA">
        <w:rPr>
          <w:rFonts w:ascii="Times New Roman" w:hAnsi="Times New Roman" w:cs="Times New Roman"/>
        </w:rPr>
        <w:t xml:space="preserve"> column indicates the number of controls evaluated within each framework, providing context for the scope of the assessment.</w:t>
      </w:r>
    </w:p>
    <w:p w14:paraId="50C8DE3F" w14:textId="05B9AD67" w:rsidR="00353FBA" w:rsidRDefault="00353FBA" w:rsidP="006751DB">
      <w:pPr>
        <w:spacing w:before="100" w:beforeAutospacing="1" w:after="100" w:afterAutospacing="1"/>
        <w:rPr>
          <w:rFonts w:ascii="Times New Roman" w:hAnsi="Times New Roman" w:cs="Times New Roman"/>
        </w:rPr>
      </w:pPr>
      <w:r>
        <w:rPr>
          <w:rFonts w:ascii="Times New Roman" w:hAnsi="Times New Roman" w:cs="Times New Roman"/>
          <w:i/>
          <w:iCs/>
        </w:rPr>
        <w:tab/>
      </w:r>
      <w:r w:rsidRPr="00353FBA">
        <w:rPr>
          <w:rFonts w:ascii="Times New Roman" w:hAnsi="Times New Roman" w:cs="Times New Roman"/>
          <w:i/>
          <w:iCs/>
        </w:rPr>
        <w:t>Table 3</w:t>
      </w:r>
      <w:r w:rsidRPr="00353FBA">
        <w:rPr>
          <w:rFonts w:ascii="Times New Roman" w:hAnsi="Times New Roman" w:cs="Times New Roman"/>
        </w:rPr>
        <w:t xml:space="preserve"> summarizes the comparative analysis by reporting the average maturity assessment for the public-sector and private-sector organizations together with the Organizational Difference. Rather than comparing AI models directly, the table evaluates whether organizational context influenced cybersecurity maturity assessments after aggregating the results produced by the three independent language models.</w:t>
      </w:r>
    </w:p>
    <w:p w14:paraId="4C7CA3F9" w14:textId="77777777" w:rsidR="00353FBA" w:rsidRDefault="00353FBA" w:rsidP="006751DB">
      <w:pPr>
        <w:spacing w:before="100" w:beforeAutospacing="1" w:after="100" w:afterAutospacing="1"/>
        <w:rPr>
          <w:rFonts w:ascii="Times New Roman" w:hAnsi="Times New Roman" w:cs="Times New Roman"/>
        </w:rPr>
      </w:pPr>
    </w:p>
    <w:p w14:paraId="7D10F589" w14:textId="77777777" w:rsidR="00353FBA" w:rsidRPr="006751DB" w:rsidRDefault="00353FBA" w:rsidP="006751DB">
      <w:pPr>
        <w:spacing w:before="100" w:beforeAutospacing="1" w:after="100" w:afterAutospacing="1"/>
        <w:rPr>
          <w:rFonts w:ascii="Times New Roman" w:hAnsi="Times New Roman" w:cs="Times New Roman"/>
        </w:rPr>
      </w:pPr>
    </w:p>
    <w:p w14:paraId="244C1725" w14:textId="5E7C0BE0" w:rsidR="006751DB" w:rsidRPr="00353FBA" w:rsidRDefault="008B6C24" w:rsidP="006751DB">
      <w:pPr>
        <w:rPr>
          <w:rFonts w:ascii="Times New Roman" w:hAnsi="Times New Roman" w:cs="Times New Roman"/>
          <w:i/>
          <w:iCs/>
        </w:rPr>
      </w:pPr>
      <w:r w:rsidRPr="00353FBA">
        <w:rPr>
          <w:rStyle w:val="Emphasis"/>
          <w:rFonts w:ascii="Times New Roman" w:hAnsi="Times New Roman" w:cs="Times New Roman"/>
          <w:i w:val="0"/>
          <w:iCs w:val="0"/>
        </w:rPr>
        <w:t>Table 1</w:t>
      </w:r>
      <w:r w:rsidRPr="00353FBA">
        <w:rPr>
          <w:rStyle w:val="Emphasis"/>
          <w:rFonts w:ascii="Times New Roman" w:hAnsi="Times New Roman" w:cs="Times New Roman"/>
        </w:rPr>
        <w:t xml:space="preserve">. </w:t>
      </w:r>
    </w:p>
    <w:p w14:paraId="19F556B6" w14:textId="0F7C70C3" w:rsidR="006751DB" w:rsidRPr="00353FBA" w:rsidRDefault="006751DB">
      <w:pPr>
        <w:rPr>
          <w:rFonts w:ascii="Times New Roman" w:hAnsi="Times New Roman" w:cs="Times New Roman"/>
        </w:rPr>
      </w:pPr>
      <w:r w:rsidRPr="00353FBA">
        <w:rPr>
          <w:rFonts w:ascii="Times New Roman" w:hAnsi="Times New Roman" w:cs="Times New Roman"/>
        </w:rPr>
        <w:t>Comparative Framework Scores Department of Education Policy</w:t>
      </w:r>
      <w:r w:rsidR="008E207C" w:rsidRPr="00353FBA">
        <w:rPr>
          <w:rFonts w:ascii="Times New Roman" w:hAnsi="Times New Roman" w:cs="Times New Roman"/>
        </w:rPr>
        <w:t xml:space="preserve"> (Public Sector)</w:t>
      </w:r>
    </w:p>
    <w:tbl>
      <w:tblPr>
        <w:tblStyle w:val="TableGrid"/>
        <w:tblW w:w="6390" w:type="dxa"/>
        <w:tblInd w:w="-545" w:type="dxa"/>
        <w:tblLook w:val="04A0" w:firstRow="1" w:lastRow="0" w:firstColumn="1" w:lastColumn="0" w:noHBand="0" w:noVBand="1"/>
      </w:tblPr>
      <w:tblGrid>
        <w:gridCol w:w="1890"/>
        <w:gridCol w:w="810"/>
        <w:gridCol w:w="1350"/>
        <w:gridCol w:w="1350"/>
        <w:gridCol w:w="990"/>
      </w:tblGrid>
      <w:tr w:rsidR="008E207C" w14:paraId="2FD35A52" w14:textId="77777777" w:rsidTr="008E207C">
        <w:tc>
          <w:tcPr>
            <w:tcW w:w="1890" w:type="dxa"/>
          </w:tcPr>
          <w:p w14:paraId="2F64EB4E" w14:textId="33B79FF5"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Framework</w:t>
            </w:r>
          </w:p>
        </w:tc>
        <w:tc>
          <w:tcPr>
            <w:tcW w:w="810" w:type="dxa"/>
          </w:tcPr>
          <w:p w14:paraId="03CDDE8B" w14:textId="77777777"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Claude Score</w:t>
            </w:r>
          </w:p>
          <w:p w14:paraId="4DA3DBD6" w14:textId="46803F03"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lastRenderedPageBreak/>
              <w:t>(0-5)</w:t>
            </w:r>
          </w:p>
        </w:tc>
        <w:tc>
          <w:tcPr>
            <w:tcW w:w="1350" w:type="dxa"/>
          </w:tcPr>
          <w:p w14:paraId="7D7526C9" w14:textId="2030831A"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lastRenderedPageBreak/>
              <w:t xml:space="preserve">ChatGPT </w:t>
            </w:r>
            <w:r>
              <w:rPr>
                <w:rFonts w:ascii="Times New Roman" w:hAnsi="Times New Roman" w:cs="Times New Roman"/>
                <w:sz w:val="20"/>
                <w:szCs w:val="20"/>
              </w:rPr>
              <w:t xml:space="preserve">4.1 </w:t>
            </w:r>
            <w:r w:rsidRPr="00ED74BE">
              <w:rPr>
                <w:rFonts w:ascii="Times New Roman" w:hAnsi="Times New Roman" w:cs="Times New Roman"/>
                <w:sz w:val="20"/>
                <w:szCs w:val="20"/>
              </w:rPr>
              <w:t>score</w:t>
            </w:r>
          </w:p>
          <w:p w14:paraId="22358C0B" w14:textId="57909C74"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lastRenderedPageBreak/>
              <w:t>(0-5)</w:t>
            </w:r>
          </w:p>
        </w:tc>
        <w:tc>
          <w:tcPr>
            <w:tcW w:w="1350" w:type="dxa"/>
          </w:tcPr>
          <w:p w14:paraId="507D5132" w14:textId="3FB23116" w:rsidR="008E207C" w:rsidRDefault="008E207C" w:rsidP="00ED74BE">
            <w:pPr>
              <w:jc w:val="center"/>
              <w:rPr>
                <w:sz w:val="20"/>
                <w:szCs w:val="20"/>
              </w:rPr>
            </w:pPr>
            <w:r>
              <w:rPr>
                <w:rFonts w:ascii="Times New Roman" w:hAnsi="Times New Roman" w:cs="Times New Roman"/>
                <w:sz w:val="20"/>
                <w:szCs w:val="20"/>
              </w:rPr>
              <w:lastRenderedPageBreak/>
              <w:t>L</w:t>
            </w:r>
            <w:r>
              <w:rPr>
                <w:sz w:val="20"/>
                <w:szCs w:val="20"/>
              </w:rPr>
              <w:t>lama 4.0</w:t>
            </w:r>
          </w:p>
          <w:p w14:paraId="4628CDEB" w14:textId="77777777" w:rsidR="008E207C" w:rsidRDefault="008E207C" w:rsidP="00ED74BE">
            <w:pPr>
              <w:jc w:val="center"/>
              <w:rPr>
                <w:rFonts w:ascii="Times New Roman" w:hAnsi="Times New Roman" w:cs="Times New Roman"/>
                <w:sz w:val="20"/>
                <w:szCs w:val="20"/>
              </w:rPr>
            </w:pPr>
            <w:r>
              <w:rPr>
                <w:rFonts w:ascii="Times New Roman" w:hAnsi="Times New Roman" w:cs="Times New Roman"/>
                <w:sz w:val="20"/>
                <w:szCs w:val="20"/>
              </w:rPr>
              <w:lastRenderedPageBreak/>
              <w:t>Score</w:t>
            </w:r>
          </w:p>
          <w:p w14:paraId="316472F7" w14:textId="51A58ABC"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(0-5)</w:t>
            </w:r>
          </w:p>
        </w:tc>
        <w:tc>
          <w:tcPr>
            <w:tcW w:w="990" w:type="dxa"/>
          </w:tcPr>
          <w:p w14:paraId="29010A03" w14:textId="3449BFE3"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lastRenderedPageBreak/>
              <w:t>Control Assessed</w:t>
            </w:r>
          </w:p>
          <w:p w14:paraId="69932D62" w14:textId="6F495F47"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lastRenderedPageBreak/>
              <w:t>(n)</w:t>
            </w:r>
          </w:p>
        </w:tc>
      </w:tr>
      <w:tr w:rsidR="008E207C" w14:paraId="30E88CD0" w14:textId="77777777" w:rsidTr="008E207C">
        <w:trPr>
          <w:trHeight w:val="269"/>
        </w:trPr>
        <w:tc>
          <w:tcPr>
            <w:tcW w:w="1890" w:type="dxa"/>
          </w:tcPr>
          <w:p w14:paraId="5A3CC225" w14:textId="23550D97" w:rsidR="008E207C" w:rsidRPr="00ED74BE" w:rsidRDefault="008E207C">
            <w:pPr>
              <w:rPr>
                <w:rFonts w:ascii="Times New Roman" w:hAnsi="Times New Roman" w:cs="Times New Roman"/>
                <w:sz w:val="20"/>
                <w:szCs w:val="20"/>
              </w:rPr>
            </w:pPr>
            <w:r w:rsidRPr="00ED74BE">
              <w:rPr>
                <w:rFonts w:ascii="Times New Roman" w:hAnsi="Times New Roman" w:cs="Times New Roman"/>
                <w:sz w:val="20"/>
                <w:szCs w:val="20"/>
              </w:rPr>
              <w:lastRenderedPageBreak/>
              <w:t>NIST CSF</w:t>
            </w:r>
          </w:p>
        </w:tc>
        <w:tc>
          <w:tcPr>
            <w:tcW w:w="810" w:type="dxa"/>
          </w:tcPr>
          <w:p w14:paraId="67F0F4C8" w14:textId="560453B5"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1.34</w:t>
            </w:r>
          </w:p>
        </w:tc>
        <w:tc>
          <w:tcPr>
            <w:tcW w:w="1350" w:type="dxa"/>
          </w:tcPr>
          <w:p w14:paraId="21EB99B7" w14:textId="1A4171A7"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2.36</w:t>
            </w:r>
          </w:p>
        </w:tc>
        <w:tc>
          <w:tcPr>
            <w:tcW w:w="1350" w:type="dxa"/>
          </w:tcPr>
          <w:p w14:paraId="6182B8CB" w14:textId="07C88264"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2.33</w:t>
            </w:r>
          </w:p>
        </w:tc>
        <w:tc>
          <w:tcPr>
            <w:tcW w:w="990" w:type="dxa"/>
          </w:tcPr>
          <w:p w14:paraId="2737C234" w14:textId="47460E4D"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26</w:t>
            </w:r>
          </w:p>
        </w:tc>
      </w:tr>
      <w:tr w:rsidR="008E207C" w14:paraId="25FD3BD3" w14:textId="77777777" w:rsidTr="008E207C">
        <w:tc>
          <w:tcPr>
            <w:tcW w:w="1890" w:type="dxa"/>
          </w:tcPr>
          <w:p w14:paraId="646EC29B" w14:textId="48E5C621" w:rsidR="008E207C" w:rsidRPr="00ED74BE" w:rsidRDefault="008E207C">
            <w:pPr>
              <w:rPr>
                <w:rFonts w:ascii="Times New Roman" w:hAnsi="Times New Roman" w:cs="Times New Roman"/>
                <w:sz w:val="20"/>
                <w:szCs w:val="20"/>
              </w:rPr>
            </w:pPr>
            <w:r>
              <w:rPr>
                <w:rFonts w:ascii="Times New Roman" w:hAnsi="Times New Roman" w:cs="Times New Roman"/>
                <w:sz w:val="20"/>
                <w:szCs w:val="20"/>
              </w:rPr>
              <w:t xml:space="preserve"> </w:t>
            </w:r>
            <w:r w:rsidRPr="00ED74BE">
              <w:rPr>
                <w:rFonts w:ascii="Times New Roman" w:hAnsi="Times New Roman" w:cs="Times New Roman"/>
                <w:sz w:val="20"/>
                <w:szCs w:val="20"/>
              </w:rPr>
              <w:t>NIST SP 800-53</w:t>
            </w:r>
          </w:p>
        </w:tc>
        <w:tc>
          <w:tcPr>
            <w:tcW w:w="810" w:type="dxa"/>
          </w:tcPr>
          <w:p w14:paraId="082C933F" w14:textId="7CDD5E15"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1.45</w:t>
            </w:r>
          </w:p>
        </w:tc>
        <w:tc>
          <w:tcPr>
            <w:tcW w:w="1350" w:type="dxa"/>
          </w:tcPr>
          <w:p w14:paraId="311990AF" w14:textId="3539A5E1"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2.49</w:t>
            </w:r>
          </w:p>
        </w:tc>
        <w:tc>
          <w:tcPr>
            <w:tcW w:w="1350" w:type="dxa"/>
          </w:tcPr>
          <w:p w14:paraId="44C99928" w14:textId="4908A575"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2.46</w:t>
            </w:r>
          </w:p>
        </w:tc>
        <w:tc>
          <w:tcPr>
            <w:tcW w:w="990" w:type="dxa"/>
          </w:tcPr>
          <w:p w14:paraId="1FB10022" w14:textId="33C2FEB5"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27</w:t>
            </w:r>
          </w:p>
        </w:tc>
      </w:tr>
      <w:tr w:rsidR="008E207C" w14:paraId="1AEB5C52" w14:textId="77777777" w:rsidTr="008E207C">
        <w:tc>
          <w:tcPr>
            <w:tcW w:w="1890" w:type="dxa"/>
          </w:tcPr>
          <w:p w14:paraId="7EECD475" w14:textId="45493BF0" w:rsidR="008E207C" w:rsidRPr="00ED74BE" w:rsidRDefault="008E207C">
            <w:pPr>
              <w:rPr>
                <w:rFonts w:ascii="Times New Roman" w:hAnsi="Times New Roman" w:cs="Times New Roman"/>
                <w:sz w:val="20"/>
                <w:szCs w:val="20"/>
              </w:rPr>
            </w:pPr>
            <w:r w:rsidRPr="00ED74BE">
              <w:rPr>
                <w:rFonts w:ascii="Times New Roman" w:hAnsi="Times New Roman" w:cs="Times New Roman"/>
                <w:sz w:val="20"/>
                <w:szCs w:val="20"/>
              </w:rPr>
              <w:t>ISO/IEC 27001</w:t>
            </w:r>
          </w:p>
        </w:tc>
        <w:tc>
          <w:tcPr>
            <w:tcW w:w="810" w:type="dxa"/>
          </w:tcPr>
          <w:p w14:paraId="5E9F7F4B" w14:textId="7A5532C9"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1.65</w:t>
            </w:r>
          </w:p>
        </w:tc>
        <w:tc>
          <w:tcPr>
            <w:tcW w:w="1350" w:type="dxa"/>
          </w:tcPr>
          <w:p w14:paraId="27E34494" w14:textId="348D1DE0"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2.75</w:t>
            </w:r>
          </w:p>
        </w:tc>
        <w:tc>
          <w:tcPr>
            <w:tcW w:w="1350" w:type="dxa"/>
          </w:tcPr>
          <w:p w14:paraId="3D165D9D" w14:textId="5D6B825D"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2.53</w:t>
            </w:r>
          </w:p>
        </w:tc>
        <w:tc>
          <w:tcPr>
            <w:tcW w:w="990" w:type="dxa"/>
          </w:tcPr>
          <w:p w14:paraId="7C0B4ED6" w14:textId="4DAC5BE2"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24</w:t>
            </w:r>
          </w:p>
        </w:tc>
      </w:tr>
      <w:tr w:rsidR="008E207C" w14:paraId="5D77F2F2" w14:textId="77777777" w:rsidTr="008E207C">
        <w:tc>
          <w:tcPr>
            <w:tcW w:w="1890" w:type="dxa"/>
          </w:tcPr>
          <w:p w14:paraId="52417A46" w14:textId="556891F3" w:rsidR="008E207C" w:rsidRPr="00ED74BE" w:rsidRDefault="008E207C">
            <w:pPr>
              <w:rPr>
                <w:rFonts w:ascii="Times New Roman" w:hAnsi="Times New Roman" w:cs="Times New Roman"/>
                <w:sz w:val="20"/>
                <w:szCs w:val="20"/>
              </w:rPr>
            </w:pPr>
            <w:r w:rsidRPr="00ED74BE">
              <w:rPr>
                <w:rFonts w:ascii="Times New Roman" w:hAnsi="Times New Roman" w:cs="Times New Roman"/>
                <w:sz w:val="20"/>
                <w:szCs w:val="20"/>
              </w:rPr>
              <w:t>CIS CSC</w:t>
            </w:r>
          </w:p>
        </w:tc>
        <w:tc>
          <w:tcPr>
            <w:tcW w:w="810" w:type="dxa"/>
          </w:tcPr>
          <w:p w14:paraId="34FCAA05" w14:textId="361CA730"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1.32</w:t>
            </w:r>
          </w:p>
        </w:tc>
        <w:tc>
          <w:tcPr>
            <w:tcW w:w="1350" w:type="dxa"/>
          </w:tcPr>
          <w:p w14:paraId="5C134C72" w14:textId="049EFBEC"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2.45</w:t>
            </w:r>
          </w:p>
        </w:tc>
        <w:tc>
          <w:tcPr>
            <w:tcW w:w="1350" w:type="dxa"/>
          </w:tcPr>
          <w:p w14:paraId="3A16C576" w14:textId="4F8E1C17"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2.39</w:t>
            </w:r>
          </w:p>
        </w:tc>
        <w:tc>
          <w:tcPr>
            <w:tcW w:w="990" w:type="dxa"/>
          </w:tcPr>
          <w:p w14:paraId="243493FA" w14:textId="0CAA6825"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18</w:t>
            </w:r>
          </w:p>
        </w:tc>
      </w:tr>
      <w:tr w:rsidR="008E207C" w14:paraId="0F77CF3B" w14:textId="77777777" w:rsidTr="008E207C">
        <w:tc>
          <w:tcPr>
            <w:tcW w:w="1890" w:type="dxa"/>
          </w:tcPr>
          <w:p w14:paraId="5DB02187" w14:textId="2E4BD5E8" w:rsidR="008E207C" w:rsidRPr="00ED74BE" w:rsidRDefault="008E207C">
            <w:pPr>
              <w:rPr>
                <w:rFonts w:ascii="Times New Roman" w:hAnsi="Times New Roman" w:cs="Times New Roman"/>
                <w:sz w:val="20"/>
                <w:szCs w:val="20"/>
              </w:rPr>
            </w:pPr>
            <w:r w:rsidRPr="00ED74BE">
              <w:rPr>
                <w:rFonts w:ascii="Times New Roman" w:hAnsi="Times New Roman" w:cs="Times New Roman"/>
                <w:sz w:val="20"/>
                <w:szCs w:val="20"/>
              </w:rPr>
              <w:t>CMMC</w:t>
            </w:r>
          </w:p>
        </w:tc>
        <w:tc>
          <w:tcPr>
            <w:tcW w:w="810" w:type="dxa"/>
          </w:tcPr>
          <w:p w14:paraId="49031C4C" w14:textId="3F080301"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1.43</w:t>
            </w:r>
          </w:p>
        </w:tc>
        <w:tc>
          <w:tcPr>
            <w:tcW w:w="1350" w:type="dxa"/>
          </w:tcPr>
          <w:p w14:paraId="17616ACD" w14:textId="181AB190"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2.43</w:t>
            </w:r>
          </w:p>
        </w:tc>
        <w:tc>
          <w:tcPr>
            <w:tcW w:w="1350" w:type="dxa"/>
          </w:tcPr>
          <w:p w14:paraId="62D55107" w14:textId="4698C0F8"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2.35</w:t>
            </w:r>
          </w:p>
        </w:tc>
        <w:tc>
          <w:tcPr>
            <w:tcW w:w="990" w:type="dxa"/>
          </w:tcPr>
          <w:p w14:paraId="48EAB133" w14:textId="0158775D"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20</w:t>
            </w:r>
          </w:p>
        </w:tc>
      </w:tr>
      <w:tr w:rsidR="008E207C" w14:paraId="1FEE9017" w14:textId="77777777" w:rsidTr="008E207C">
        <w:tc>
          <w:tcPr>
            <w:tcW w:w="1890" w:type="dxa"/>
          </w:tcPr>
          <w:p w14:paraId="0255BCDD" w14:textId="6D6E1BB9" w:rsidR="008E207C" w:rsidRPr="00ED74BE" w:rsidRDefault="008E207C">
            <w:pPr>
              <w:rPr>
                <w:rFonts w:ascii="Times New Roman" w:hAnsi="Times New Roman" w:cs="Times New Roman"/>
                <w:sz w:val="20"/>
                <w:szCs w:val="20"/>
              </w:rPr>
            </w:pPr>
            <w:r w:rsidRPr="00ED74BE">
              <w:rPr>
                <w:rFonts w:ascii="Times New Roman" w:hAnsi="Times New Roman" w:cs="Times New Roman"/>
                <w:sz w:val="20"/>
                <w:szCs w:val="20"/>
              </w:rPr>
              <w:t>HIPAA</w:t>
            </w:r>
          </w:p>
        </w:tc>
        <w:tc>
          <w:tcPr>
            <w:tcW w:w="810" w:type="dxa"/>
          </w:tcPr>
          <w:p w14:paraId="2E3B2721" w14:textId="32536728"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1.42</w:t>
            </w:r>
          </w:p>
        </w:tc>
        <w:tc>
          <w:tcPr>
            <w:tcW w:w="1350" w:type="dxa"/>
          </w:tcPr>
          <w:p w14:paraId="2E58E35A" w14:textId="0041F7DD"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2.45</w:t>
            </w:r>
          </w:p>
        </w:tc>
        <w:tc>
          <w:tcPr>
            <w:tcW w:w="1350" w:type="dxa"/>
          </w:tcPr>
          <w:p w14:paraId="092A7383" w14:textId="1179C6F5"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2.45</w:t>
            </w:r>
          </w:p>
        </w:tc>
        <w:tc>
          <w:tcPr>
            <w:tcW w:w="990" w:type="dxa"/>
          </w:tcPr>
          <w:p w14:paraId="3803CA0D" w14:textId="0D60C35F"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20</w:t>
            </w:r>
          </w:p>
        </w:tc>
      </w:tr>
      <w:tr w:rsidR="008E207C" w14:paraId="1F44C446" w14:textId="77777777" w:rsidTr="008E207C">
        <w:tc>
          <w:tcPr>
            <w:tcW w:w="1890" w:type="dxa"/>
          </w:tcPr>
          <w:p w14:paraId="431CFC65" w14:textId="762BF1C2" w:rsidR="008E207C" w:rsidRPr="00ED74BE" w:rsidRDefault="008E207C">
            <w:pPr>
              <w:rPr>
                <w:rFonts w:ascii="Times New Roman" w:hAnsi="Times New Roman" w:cs="Times New Roman"/>
                <w:sz w:val="20"/>
                <w:szCs w:val="20"/>
              </w:rPr>
            </w:pPr>
            <w:r w:rsidRPr="00ED74BE">
              <w:rPr>
                <w:rFonts w:ascii="Times New Roman" w:hAnsi="Times New Roman" w:cs="Times New Roman"/>
                <w:sz w:val="20"/>
                <w:szCs w:val="20"/>
              </w:rPr>
              <w:t>PCI DSS</w:t>
            </w:r>
          </w:p>
        </w:tc>
        <w:tc>
          <w:tcPr>
            <w:tcW w:w="810" w:type="dxa"/>
          </w:tcPr>
          <w:p w14:paraId="4A0B769F" w14:textId="2193D8AE"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1.19</w:t>
            </w:r>
          </w:p>
        </w:tc>
        <w:tc>
          <w:tcPr>
            <w:tcW w:w="1350" w:type="dxa"/>
          </w:tcPr>
          <w:p w14:paraId="34D299FD" w14:textId="56183B2B"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2.26</w:t>
            </w:r>
          </w:p>
        </w:tc>
        <w:tc>
          <w:tcPr>
            <w:tcW w:w="1350" w:type="dxa"/>
          </w:tcPr>
          <w:p w14:paraId="19933F3F" w14:textId="273EC1B4"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2.34</w:t>
            </w:r>
          </w:p>
        </w:tc>
        <w:tc>
          <w:tcPr>
            <w:tcW w:w="990" w:type="dxa"/>
          </w:tcPr>
          <w:p w14:paraId="1EEA45CC" w14:textId="60F86E7F"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23</w:t>
            </w:r>
          </w:p>
        </w:tc>
      </w:tr>
      <w:tr w:rsidR="008E207C" w14:paraId="097B7298" w14:textId="77777777" w:rsidTr="008E207C">
        <w:tc>
          <w:tcPr>
            <w:tcW w:w="1890" w:type="dxa"/>
          </w:tcPr>
          <w:p w14:paraId="1E1A79E1" w14:textId="4054B91B" w:rsidR="008E207C" w:rsidRPr="00ED74BE" w:rsidRDefault="008E207C">
            <w:pPr>
              <w:rPr>
                <w:rFonts w:ascii="Times New Roman" w:hAnsi="Times New Roman" w:cs="Times New Roman"/>
                <w:sz w:val="20"/>
                <w:szCs w:val="20"/>
              </w:rPr>
            </w:pPr>
            <w:r w:rsidRPr="00ED74BE">
              <w:rPr>
                <w:rFonts w:ascii="Times New Roman" w:hAnsi="Times New Roman" w:cs="Times New Roman"/>
                <w:sz w:val="20"/>
                <w:szCs w:val="20"/>
              </w:rPr>
              <w:t>CSA CMM</w:t>
            </w:r>
          </w:p>
        </w:tc>
        <w:tc>
          <w:tcPr>
            <w:tcW w:w="810" w:type="dxa"/>
          </w:tcPr>
          <w:p w14:paraId="78C27710" w14:textId="72B97ABB"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1.22</w:t>
            </w:r>
          </w:p>
        </w:tc>
        <w:tc>
          <w:tcPr>
            <w:tcW w:w="1350" w:type="dxa"/>
          </w:tcPr>
          <w:p w14:paraId="575EA835" w14:textId="7D0A85B0"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2.22</w:t>
            </w:r>
          </w:p>
        </w:tc>
        <w:tc>
          <w:tcPr>
            <w:tcW w:w="1350" w:type="dxa"/>
          </w:tcPr>
          <w:p w14:paraId="07A5C090" w14:textId="22BF89B4"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2.21</w:t>
            </w:r>
          </w:p>
        </w:tc>
        <w:tc>
          <w:tcPr>
            <w:tcW w:w="990" w:type="dxa"/>
          </w:tcPr>
          <w:p w14:paraId="5C678263" w14:textId="4FD8DED6"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25</w:t>
            </w:r>
          </w:p>
        </w:tc>
      </w:tr>
      <w:tr w:rsidR="008E207C" w14:paraId="601107D2" w14:textId="77777777" w:rsidTr="008E207C">
        <w:tc>
          <w:tcPr>
            <w:tcW w:w="1890" w:type="dxa"/>
          </w:tcPr>
          <w:p w14:paraId="1B13356B" w14:textId="36000686" w:rsidR="008E207C" w:rsidRPr="00ED74BE" w:rsidRDefault="008E207C">
            <w:pPr>
              <w:rPr>
                <w:rFonts w:ascii="Times New Roman" w:hAnsi="Times New Roman" w:cs="Times New Roman"/>
                <w:sz w:val="20"/>
                <w:szCs w:val="20"/>
              </w:rPr>
            </w:pPr>
            <w:r w:rsidRPr="00ED74BE">
              <w:rPr>
                <w:rFonts w:ascii="Times New Roman" w:hAnsi="Times New Roman" w:cs="Times New Roman"/>
                <w:sz w:val="20"/>
                <w:szCs w:val="20"/>
              </w:rPr>
              <w:t>FTC Safeguards</w:t>
            </w:r>
          </w:p>
        </w:tc>
        <w:tc>
          <w:tcPr>
            <w:tcW w:w="810" w:type="dxa"/>
          </w:tcPr>
          <w:p w14:paraId="4AF5036A" w14:textId="6736E89D"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1.94</w:t>
            </w:r>
          </w:p>
        </w:tc>
        <w:tc>
          <w:tcPr>
            <w:tcW w:w="1350" w:type="dxa"/>
          </w:tcPr>
          <w:p w14:paraId="3490E688" w14:textId="4CF3E081"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2.83</w:t>
            </w:r>
          </w:p>
        </w:tc>
        <w:tc>
          <w:tcPr>
            <w:tcW w:w="1350" w:type="dxa"/>
          </w:tcPr>
          <w:p w14:paraId="2DA7DB13" w14:textId="20888BF8"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2.65</w:t>
            </w:r>
          </w:p>
        </w:tc>
        <w:tc>
          <w:tcPr>
            <w:tcW w:w="990" w:type="dxa"/>
          </w:tcPr>
          <w:p w14:paraId="3A6416C3" w14:textId="15350AC9"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16</w:t>
            </w:r>
          </w:p>
        </w:tc>
      </w:tr>
      <w:tr w:rsidR="008E207C" w14:paraId="571F3D34" w14:textId="77777777" w:rsidTr="008E207C">
        <w:tc>
          <w:tcPr>
            <w:tcW w:w="1890" w:type="dxa"/>
          </w:tcPr>
          <w:p w14:paraId="3E8C9EDB" w14:textId="5D0BCAEC" w:rsidR="008E207C" w:rsidRPr="00ED74BE" w:rsidRDefault="008E207C">
            <w:pPr>
              <w:rPr>
                <w:rFonts w:ascii="Times New Roman" w:hAnsi="Times New Roman" w:cs="Times New Roman"/>
                <w:sz w:val="20"/>
                <w:szCs w:val="20"/>
              </w:rPr>
            </w:pPr>
            <w:r>
              <w:rPr>
                <w:rFonts w:ascii="Times New Roman" w:hAnsi="Times New Roman" w:cs="Times New Roman"/>
                <w:sz w:val="20"/>
                <w:szCs w:val="20"/>
              </w:rPr>
              <w:t>F</w:t>
            </w:r>
            <w:r w:rsidRPr="00ED74BE">
              <w:rPr>
                <w:rFonts w:ascii="Times New Roman" w:hAnsi="Times New Roman" w:cs="Times New Roman"/>
                <w:sz w:val="20"/>
                <w:szCs w:val="20"/>
              </w:rPr>
              <w:t>ramework Average</w:t>
            </w:r>
          </w:p>
        </w:tc>
        <w:tc>
          <w:tcPr>
            <w:tcW w:w="810" w:type="dxa"/>
          </w:tcPr>
          <w:p w14:paraId="24EFE9A3" w14:textId="4453B462" w:rsidR="008E207C" w:rsidRPr="00ED74BE" w:rsidRDefault="008E207C" w:rsidP="006751DB">
            <w:pPr>
              <w:jc w:val="center"/>
              <w:rPr>
                <w:rFonts w:ascii="Times New Roman" w:hAnsi="Times New Roman" w:cs="Times New Roman"/>
                <w:sz w:val="20"/>
                <w:szCs w:val="20"/>
              </w:rPr>
            </w:pPr>
            <w:r>
              <w:rPr>
                <w:rFonts w:ascii="Times New Roman" w:hAnsi="Times New Roman" w:cs="Times New Roman"/>
                <w:sz w:val="20"/>
                <w:szCs w:val="20"/>
              </w:rPr>
              <w:t>1.44</w:t>
            </w:r>
          </w:p>
        </w:tc>
        <w:tc>
          <w:tcPr>
            <w:tcW w:w="1350" w:type="dxa"/>
          </w:tcPr>
          <w:p w14:paraId="22E2D3B4" w14:textId="42F64E57" w:rsidR="008E207C" w:rsidRPr="00ED74BE" w:rsidRDefault="008E207C" w:rsidP="00ED74BE">
            <w:pPr>
              <w:jc w:val="center"/>
              <w:rPr>
                <w:rFonts w:ascii="Times New Roman" w:hAnsi="Times New Roman" w:cs="Times New Roman"/>
                <w:sz w:val="20"/>
                <w:szCs w:val="20"/>
              </w:rPr>
            </w:pPr>
            <w:r>
              <w:rPr>
                <w:rFonts w:ascii="Times New Roman" w:hAnsi="Times New Roman" w:cs="Times New Roman"/>
                <w:sz w:val="20"/>
                <w:szCs w:val="20"/>
              </w:rPr>
              <w:t>2.47</w:t>
            </w:r>
          </w:p>
        </w:tc>
        <w:tc>
          <w:tcPr>
            <w:tcW w:w="1350" w:type="dxa"/>
          </w:tcPr>
          <w:p w14:paraId="6A171D7E" w14:textId="2EA4601D" w:rsidR="008E207C" w:rsidRDefault="008E207C" w:rsidP="00ED74BE">
            <w:pPr>
              <w:jc w:val="center"/>
              <w:rPr>
                <w:rFonts w:ascii="Times New Roman" w:hAnsi="Times New Roman" w:cs="Times New Roman"/>
                <w:sz w:val="20"/>
                <w:szCs w:val="20"/>
              </w:rPr>
            </w:pPr>
            <w:r>
              <w:rPr>
                <w:rFonts w:ascii="Times New Roman" w:hAnsi="Times New Roman" w:cs="Times New Roman"/>
                <w:sz w:val="20"/>
                <w:szCs w:val="20"/>
              </w:rPr>
              <w:t>2.41</w:t>
            </w:r>
          </w:p>
        </w:tc>
        <w:tc>
          <w:tcPr>
            <w:tcW w:w="990" w:type="dxa"/>
          </w:tcPr>
          <w:p w14:paraId="2753CB67" w14:textId="7013026B" w:rsidR="008E207C" w:rsidRPr="00ED74BE" w:rsidRDefault="008E207C" w:rsidP="00ED74BE">
            <w:pPr>
              <w:jc w:val="center"/>
              <w:rPr>
                <w:rFonts w:ascii="Times New Roman" w:hAnsi="Times New Roman" w:cs="Times New Roman"/>
                <w:sz w:val="20"/>
                <w:szCs w:val="20"/>
              </w:rPr>
            </w:pPr>
            <w:r w:rsidRPr="00ED74BE">
              <w:rPr>
                <w:rFonts w:ascii="Times New Roman" w:hAnsi="Times New Roman" w:cs="Times New Roman"/>
                <w:sz w:val="20"/>
                <w:szCs w:val="20"/>
              </w:rPr>
              <w:t>199</w:t>
            </w:r>
          </w:p>
        </w:tc>
      </w:tr>
    </w:tbl>
    <w:p w14:paraId="73B8F3F7" w14:textId="77777777" w:rsidR="008E207C" w:rsidRDefault="008E207C">
      <w:pPr>
        <w:rPr>
          <w:rFonts w:ascii="Times New Roman" w:hAnsi="Times New Roman" w:cs="Times New Roman"/>
        </w:rPr>
      </w:pPr>
    </w:p>
    <w:p w14:paraId="1C910E67" w14:textId="77777777" w:rsidR="008E207C" w:rsidRDefault="008E207C">
      <w:pPr>
        <w:rPr>
          <w:rFonts w:ascii="Times New Roman" w:hAnsi="Times New Roman" w:cs="Times New Roman"/>
        </w:rPr>
      </w:pPr>
    </w:p>
    <w:p w14:paraId="19D218D8" w14:textId="37667AE6" w:rsidR="008E207C" w:rsidRPr="00353FBA" w:rsidRDefault="006751DB">
      <w:pPr>
        <w:rPr>
          <w:rFonts w:ascii="Times New Roman" w:hAnsi="Times New Roman" w:cs="Times New Roman"/>
        </w:rPr>
      </w:pPr>
      <w:r w:rsidRPr="00353FBA">
        <w:rPr>
          <w:rStyle w:val="Emphasis"/>
          <w:rFonts w:ascii="Times New Roman" w:hAnsi="Times New Roman" w:cs="Times New Roman"/>
          <w:i w:val="0"/>
          <w:iCs w:val="0"/>
        </w:rPr>
        <w:t>Table 2.</w:t>
      </w:r>
    </w:p>
    <w:p w14:paraId="14311D71" w14:textId="1F832359" w:rsidR="006751DB" w:rsidRPr="00353FBA" w:rsidRDefault="006751DB" w:rsidP="006751DB">
      <w:pPr>
        <w:rPr>
          <w:rFonts w:ascii="Times New Roman" w:hAnsi="Times New Roman" w:cs="Times New Roman"/>
        </w:rPr>
      </w:pPr>
      <w:r w:rsidRPr="00353FBA">
        <w:rPr>
          <w:rFonts w:ascii="Times New Roman" w:hAnsi="Times New Roman" w:cs="Times New Roman"/>
        </w:rPr>
        <w:t>Comparative Framework Scores Scott &amp; Scott WISP</w:t>
      </w:r>
      <w:r w:rsidR="008E207C" w:rsidRPr="00353FBA">
        <w:rPr>
          <w:rFonts w:ascii="Times New Roman" w:hAnsi="Times New Roman" w:cs="Times New Roman"/>
        </w:rPr>
        <w:t xml:space="preserve"> (Private Sector)</w:t>
      </w:r>
    </w:p>
    <w:tbl>
      <w:tblPr>
        <w:tblStyle w:val="TableGrid"/>
        <w:tblW w:w="6390" w:type="dxa"/>
        <w:tblInd w:w="-545" w:type="dxa"/>
        <w:tblLook w:val="04A0" w:firstRow="1" w:lastRow="0" w:firstColumn="1" w:lastColumn="0" w:noHBand="0" w:noVBand="1"/>
      </w:tblPr>
      <w:tblGrid>
        <w:gridCol w:w="1890"/>
        <w:gridCol w:w="990"/>
        <w:gridCol w:w="1350"/>
        <w:gridCol w:w="1170"/>
        <w:gridCol w:w="990"/>
      </w:tblGrid>
      <w:tr w:rsidR="008E207C" w14:paraId="1F7F6FBE" w14:textId="77777777" w:rsidTr="008E207C">
        <w:tc>
          <w:tcPr>
            <w:tcW w:w="1890" w:type="dxa"/>
          </w:tcPr>
          <w:p w14:paraId="3656C155"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Framework</w:t>
            </w:r>
          </w:p>
        </w:tc>
        <w:tc>
          <w:tcPr>
            <w:tcW w:w="990" w:type="dxa"/>
          </w:tcPr>
          <w:p w14:paraId="3943B691"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Claude Score</w:t>
            </w:r>
          </w:p>
          <w:p w14:paraId="75BFA699"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(0-5)</w:t>
            </w:r>
          </w:p>
        </w:tc>
        <w:tc>
          <w:tcPr>
            <w:tcW w:w="1350" w:type="dxa"/>
          </w:tcPr>
          <w:p w14:paraId="54673830" w14:textId="7E603BD1"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 xml:space="preserve">ChatGPT </w:t>
            </w:r>
            <w:r>
              <w:rPr>
                <w:rFonts w:ascii="Times New Roman" w:hAnsi="Times New Roman" w:cs="Times New Roman"/>
                <w:sz w:val="20"/>
                <w:szCs w:val="20"/>
              </w:rPr>
              <w:t xml:space="preserve">4.1 </w:t>
            </w:r>
            <w:proofErr w:type="gramStart"/>
            <w:r w:rsidR="00353FBA">
              <w:rPr>
                <w:rFonts w:ascii="Times New Roman" w:hAnsi="Times New Roman" w:cs="Times New Roman"/>
                <w:sz w:val="20"/>
                <w:szCs w:val="20"/>
              </w:rPr>
              <w:t>S</w:t>
            </w:r>
            <w:r w:rsidR="00353FBA" w:rsidRPr="00ED74BE">
              <w:rPr>
                <w:rFonts w:ascii="Times New Roman" w:hAnsi="Times New Roman" w:cs="Times New Roman"/>
                <w:sz w:val="20"/>
                <w:szCs w:val="20"/>
              </w:rPr>
              <w:t>core</w:t>
            </w:r>
            <w:proofErr w:type="gramEnd"/>
          </w:p>
          <w:p w14:paraId="16E365FA"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(0-5)</w:t>
            </w:r>
          </w:p>
        </w:tc>
        <w:tc>
          <w:tcPr>
            <w:tcW w:w="1170" w:type="dxa"/>
          </w:tcPr>
          <w:p w14:paraId="5E1C6B65" w14:textId="14ED56E4" w:rsidR="008E207C" w:rsidRDefault="008E207C" w:rsidP="008E207C">
            <w:pPr>
              <w:jc w:val="center"/>
              <w:rPr>
                <w:sz w:val="20"/>
                <w:szCs w:val="20"/>
              </w:rPr>
            </w:pPr>
            <w:r>
              <w:rPr>
                <w:rFonts w:ascii="Times New Roman" w:hAnsi="Times New Roman" w:cs="Times New Roman"/>
                <w:sz w:val="20"/>
                <w:szCs w:val="20"/>
              </w:rPr>
              <w:t>L</w:t>
            </w:r>
            <w:r>
              <w:rPr>
                <w:sz w:val="20"/>
                <w:szCs w:val="20"/>
              </w:rPr>
              <w:t>lama 4.0</w:t>
            </w:r>
          </w:p>
          <w:p w14:paraId="0350F2D6" w14:textId="77777777" w:rsidR="008E207C" w:rsidRDefault="008E207C" w:rsidP="008E207C">
            <w:pPr>
              <w:jc w:val="center"/>
              <w:rPr>
                <w:rFonts w:ascii="Times New Roman" w:hAnsi="Times New Roman" w:cs="Times New Roman"/>
                <w:sz w:val="20"/>
                <w:szCs w:val="20"/>
              </w:rPr>
            </w:pPr>
            <w:r>
              <w:rPr>
                <w:rFonts w:ascii="Times New Roman" w:hAnsi="Times New Roman" w:cs="Times New Roman"/>
                <w:sz w:val="20"/>
                <w:szCs w:val="20"/>
              </w:rPr>
              <w:t>Score</w:t>
            </w:r>
          </w:p>
          <w:p w14:paraId="16DC0896" w14:textId="5380B9DB" w:rsidR="008E207C" w:rsidRPr="00ED74BE" w:rsidRDefault="008E207C" w:rsidP="008E207C">
            <w:pPr>
              <w:jc w:val="center"/>
              <w:rPr>
                <w:rFonts w:ascii="Times New Roman" w:hAnsi="Times New Roman" w:cs="Times New Roman"/>
                <w:sz w:val="20"/>
                <w:szCs w:val="20"/>
              </w:rPr>
            </w:pPr>
            <w:r>
              <w:rPr>
                <w:rFonts w:ascii="Times New Roman" w:hAnsi="Times New Roman" w:cs="Times New Roman"/>
                <w:sz w:val="20"/>
                <w:szCs w:val="20"/>
              </w:rPr>
              <w:t>(0-5)</w:t>
            </w:r>
          </w:p>
        </w:tc>
        <w:tc>
          <w:tcPr>
            <w:tcW w:w="990" w:type="dxa"/>
          </w:tcPr>
          <w:p w14:paraId="0C6DEB4A"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Control Assessed</w:t>
            </w:r>
          </w:p>
          <w:p w14:paraId="6FE835F2"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(n)</w:t>
            </w:r>
          </w:p>
        </w:tc>
      </w:tr>
      <w:tr w:rsidR="008E207C" w14:paraId="01DC2DD7" w14:textId="77777777" w:rsidTr="008E207C">
        <w:trPr>
          <w:trHeight w:val="278"/>
        </w:trPr>
        <w:tc>
          <w:tcPr>
            <w:tcW w:w="1890" w:type="dxa"/>
          </w:tcPr>
          <w:p w14:paraId="76EE8C75"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NIST CSF</w:t>
            </w:r>
          </w:p>
        </w:tc>
        <w:tc>
          <w:tcPr>
            <w:tcW w:w="990" w:type="dxa"/>
          </w:tcPr>
          <w:p w14:paraId="388F6CCD" w14:textId="717718E4"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1.3</w:t>
            </w:r>
            <w:r>
              <w:rPr>
                <w:rFonts w:ascii="Times New Roman" w:hAnsi="Times New Roman" w:cs="Times New Roman"/>
                <w:sz w:val="20"/>
                <w:szCs w:val="20"/>
              </w:rPr>
              <w:t>2</w:t>
            </w:r>
          </w:p>
        </w:tc>
        <w:tc>
          <w:tcPr>
            <w:tcW w:w="1350" w:type="dxa"/>
          </w:tcPr>
          <w:p w14:paraId="714DB788" w14:textId="638D393D"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26</w:t>
            </w:r>
          </w:p>
        </w:tc>
        <w:tc>
          <w:tcPr>
            <w:tcW w:w="1170" w:type="dxa"/>
          </w:tcPr>
          <w:p w14:paraId="0DAD6D1F" w14:textId="0914E3E2" w:rsidR="008E207C"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2.33</w:t>
            </w:r>
          </w:p>
        </w:tc>
        <w:tc>
          <w:tcPr>
            <w:tcW w:w="990" w:type="dxa"/>
          </w:tcPr>
          <w:p w14:paraId="474EDAED"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26</w:t>
            </w:r>
          </w:p>
        </w:tc>
      </w:tr>
      <w:tr w:rsidR="008E207C" w14:paraId="488A4ABF" w14:textId="77777777" w:rsidTr="008E207C">
        <w:tc>
          <w:tcPr>
            <w:tcW w:w="1890" w:type="dxa"/>
          </w:tcPr>
          <w:p w14:paraId="76D74182"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NIST SP 800-53</w:t>
            </w:r>
          </w:p>
        </w:tc>
        <w:tc>
          <w:tcPr>
            <w:tcW w:w="990" w:type="dxa"/>
          </w:tcPr>
          <w:p w14:paraId="3AF8FF1B" w14:textId="222A5EB8"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21</w:t>
            </w:r>
          </w:p>
        </w:tc>
        <w:tc>
          <w:tcPr>
            <w:tcW w:w="1350" w:type="dxa"/>
          </w:tcPr>
          <w:p w14:paraId="7D5F8858" w14:textId="3F51ABCA"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32</w:t>
            </w:r>
          </w:p>
        </w:tc>
        <w:tc>
          <w:tcPr>
            <w:tcW w:w="1170" w:type="dxa"/>
          </w:tcPr>
          <w:p w14:paraId="1D1B51FB" w14:textId="3F1F9BB1" w:rsidR="008E207C" w:rsidRPr="00ED74BE"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2.27</w:t>
            </w:r>
          </w:p>
        </w:tc>
        <w:tc>
          <w:tcPr>
            <w:tcW w:w="990" w:type="dxa"/>
          </w:tcPr>
          <w:p w14:paraId="4679BDA6"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27</w:t>
            </w:r>
          </w:p>
        </w:tc>
      </w:tr>
      <w:tr w:rsidR="008E207C" w14:paraId="777A1771" w14:textId="77777777" w:rsidTr="008E207C">
        <w:tc>
          <w:tcPr>
            <w:tcW w:w="1890" w:type="dxa"/>
          </w:tcPr>
          <w:p w14:paraId="7C62530E"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ISO/IEC 27001</w:t>
            </w:r>
          </w:p>
        </w:tc>
        <w:tc>
          <w:tcPr>
            <w:tcW w:w="990" w:type="dxa"/>
          </w:tcPr>
          <w:p w14:paraId="63193FD6" w14:textId="3C18FE5D"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82</w:t>
            </w:r>
          </w:p>
        </w:tc>
        <w:tc>
          <w:tcPr>
            <w:tcW w:w="1350" w:type="dxa"/>
          </w:tcPr>
          <w:p w14:paraId="5AB2E967" w14:textId="1A83A5AF"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56</w:t>
            </w:r>
          </w:p>
        </w:tc>
        <w:tc>
          <w:tcPr>
            <w:tcW w:w="1170" w:type="dxa"/>
          </w:tcPr>
          <w:p w14:paraId="6B920B46" w14:textId="2BDA0068" w:rsidR="008E207C"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2.55</w:t>
            </w:r>
          </w:p>
        </w:tc>
        <w:tc>
          <w:tcPr>
            <w:tcW w:w="990" w:type="dxa"/>
          </w:tcPr>
          <w:p w14:paraId="4F5FD5B8"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24</w:t>
            </w:r>
          </w:p>
        </w:tc>
      </w:tr>
      <w:tr w:rsidR="008E207C" w14:paraId="1331A579" w14:textId="77777777" w:rsidTr="008E207C">
        <w:tc>
          <w:tcPr>
            <w:tcW w:w="1890" w:type="dxa"/>
          </w:tcPr>
          <w:p w14:paraId="21E23174"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CIS CSC</w:t>
            </w:r>
          </w:p>
        </w:tc>
        <w:tc>
          <w:tcPr>
            <w:tcW w:w="990" w:type="dxa"/>
          </w:tcPr>
          <w:p w14:paraId="7D8FFC17" w14:textId="5C9E11D6"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21</w:t>
            </w:r>
          </w:p>
        </w:tc>
        <w:tc>
          <w:tcPr>
            <w:tcW w:w="1350" w:type="dxa"/>
          </w:tcPr>
          <w:p w14:paraId="17C6ED1A" w14:textId="4D65B5DB"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55</w:t>
            </w:r>
          </w:p>
        </w:tc>
        <w:tc>
          <w:tcPr>
            <w:tcW w:w="1170" w:type="dxa"/>
          </w:tcPr>
          <w:p w14:paraId="6C8C3E71" w14:textId="46B497C6" w:rsidR="008E207C" w:rsidRPr="00ED74BE"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2.58</w:t>
            </w:r>
          </w:p>
        </w:tc>
        <w:tc>
          <w:tcPr>
            <w:tcW w:w="990" w:type="dxa"/>
          </w:tcPr>
          <w:p w14:paraId="449C9DA0"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18</w:t>
            </w:r>
          </w:p>
        </w:tc>
      </w:tr>
      <w:tr w:rsidR="008E207C" w14:paraId="3800E7F8" w14:textId="77777777" w:rsidTr="008E207C">
        <w:tc>
          <w:tcPr>
            <w:tcW w:w="1890" w:type="dxa"/>
          </w:tcPr>
          <w:p w14:paraId="72A5BE30"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CMMC</w:t>
            </w:r>
          </w:p>
        </w:tc>
        <w:tc>
          <w:tcPr>
            <w:tcW w:w="990" w:type="dxa"/>
          </w:tcPr>
          <w:p w14:paraId="5B7E3038" w14:textId="31D5DA75"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35</w:t>
            </w:r>
          </w:p>
        </w:tc>
        <w:tc>
          <w:tcPr>
            <w:tcW w:w="1350" w:type="dxa"/>
          </w:tcPr>
          <w:p w14:paraId="130CCD0E" w14:textId="7014FBC8"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32</w:t>
            </w:r>
          </w:p>
        </w:tc>
        <w:tc>
          <w:tcPr>
            <w:tcW w:w="1170" w:type="dxa"/>
          </w:tcPr>
          <w:p w14:paraId="6BF9F44B" w14:textId="4CAE72E0" w:rsidR="008E207C"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2.38</w:t>
            </w:r>
          </w:p>
        </w:tc>
        <w:tc>
          <w:tcPr>
            <w:tcW w:w="990" w:type="dxa"/>
          </w:tcPr>
          <w:p w14:paraId="00C56DBC"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20</w:t>
            </w:r>
          </w:p>
        </w:tc>
      </w:tr>
      <w:tr w:rsidR="008E207C" w14:paraId="3B1FAAD2" w14:textId="77777777" w:rsidTr="008E207C">
        <w:tc>
          <w:tcPr>
            <w:tcW w:w="1890" w:type="dxa"/>
          </w:tcPr>
          <w:p w14:paraId="15CFDD5D"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HIPAA</w:t>
            </w:r>
          </w:p>
        </w:tc>
        <w:tc>
          <w:tcPr>
            <w:tcW w:w="990" w:type="dxa"/>
          </w:tcPr>
          <w:p w14:paraId="626C06DC" w14:textId="4259AA2B"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77</w:t>
            </w:r>
          </w:p>
        </w:tc>
        <w:tc>
          <w:tcPr>
            <w:tcW w:w="1350" w:type="dxa"/>
          </w:tcPr>
          <w:p w14:paraId="65500A19" w14:textId="1E1CCC31"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2.4</w:t>
            </w:r>
            <w:r>
              <w:rPr>
                <w:rFonts w:ascii="Times New Roman" w:hAnsi="Times New Roman" w:cs="Times New Roman"/>
                <w:sz w:val="20"/>
                <w:szCs w:val="20"/>
              </w:rPr>
              <w:t>3</w:t>
            </w:r>
          </w:p>
        </w:tc>
        <w:tc>
          <w:tcPr>
            <w:tcW w:w="1170" w:type="dxa"/>
          </w:tcPr>
          <w:p w14:paraId="64739795" w14:textId="2CF51F3F" w:rsidR="008E207C"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2.64</w:t>
            </w:r>
          </w:p>
        </w:tc>
        <w:tc>
          <w:tcPr>
            <w:tcW w:w="990" w:type="dxa"/>
          </w:tcPr>
          <w:p w14:paraId="04E968E5"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20</w:t>
            </w:r>
          </w:p>
        </w:tc>
      </w:tr>
      <w:tr w:rsidR="008E207C" w14:paraId="1956D336" w14:textId="77777777" w:rsidTr="008E207C">
        <w:tc>
          <w:tcPr>
            <w:tcW w:w="1890" w:type="dxa"/>
          </w:tcPr>
          <w:p w14:paraId="48E9019F"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PCI DSS</w:t>
            </w:r>
          </w:p>
        </w:tc>
        <w:tc>
          <w:tcPr>
            <w:tcW w:w="990" w:type="dxa"/>
          </w:tcPr>
          <w:p w14:paraId="2DF0079B" w14:textId="088DC59E"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22</w:t>
            </w:r>
          </w:p>
        </w:tc>
        <w:tc>
          <w:tcPr>
            <w:tcW w:w="1350" w:type="dxa"/>
          </w:tcPr>
          <w:p w14:paraId="6C608CCA" w14:textId="5EADB8CC"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15</w:t>
            </w:r>
          </w:p>
        </w:tc>
        <w:tc>
          <w:tcPr>
            <w:tcW w:w="1170" w:type="dxa"/>
          </w:tcPr>
          <w:p w14:paraId="10A703F4" w14:textId="7904C5D6" w:rsidR="008E207C"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2.22</w:t>
            </w:r>
          </w:p>
        </w:tc>
        <w:tc>
          <w:tcPr>
            <w:tcW w:w="990" w:type="dxa"/>
          </w:tcPr>
          <w:p w14:paraId="35273893"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23</w:t>
            </w:r>
          </w:p>
        </w:tc>
      </w:tr>
      <w:tr w:rsidR="008E207C" w14:paraId="5B8AFF96" w14:textId="77777777" w:rsidTr="008E207C">
        <w:tc>
          <w:tcPr>
            <w:tcW w:w="1890" w:type="dxa"/>
          </w:tcPr>
          <w:p w14:paraId="32F17B4F"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CSA CMM</w:t>
            </w:r>
          </w:p>
        </w:tc>
        <w:tc>
          <w:tcPr>
            <w:tcW w:w="990" w:type="dxa"/>
          </w:tcPr>
          <w:p w14:paraId="7514647B" w14:textId="59C5BD24"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26</w:t>
            </w:r>
          </w:p>
        </w:tc>
        <w:tc>
          <w:tcPr>
            <w:tcW w:w="1350" w:type="dxa"/>
          </w:tcPr>
          <w:p w14:paraId="2A5FBA45" w14:textId="190B02ED"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33</w:t>
            </w:r>
          </w:p>
        </w:tc>
        <w:tc>
          <w:tcPr>
            <w:tcW w:w="1170" w:type="dxa"/>
          </w:tcPr>
          <w:p w14:paraId="6CA33A52" w14:textId="431F314A" w:rsidR="008E207C" w:rsidRPr="00ED74BE"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2.2</w:t>
            </w:r>
            <w:r>
              <w:rPr>
                <w:rFonts w:ascii="Times New Roman" w:hAnsi="Times New Roman" w:cs="Times New Roman"/>
                <w:sz w:val="20"/>
                <w:szCs w:val="20"/>
              </w:rPr>
              <w:t>2</w:t>
            </w:r>
          </w:p>
        </w:tc>
        <w:tc>
          <w:tcPr>
            <w:tcW w:w="990" w:type="dxa"/>
          </w:tcPr>
          <w:p w14:paraId="1AA196AE"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25</w:t>
            </w:r>
          </w:p>
        </w:tc>
      </w:tr>
      <w:tr w:rsidR="008E207C" w14:paraId="6C7B19C4" w14:textId="77777777" w:rsidTr="008E207C">
        <w:tc>
          <w:tcPr>
            <w:tcW w:w="1890" w:type="dxa"/>
          </w:tcPr>
          <w:p w14:paraId="7E7C06EA" w14:textId="77777777" w:rsidR="008E207C" w:rsidRPr="00ED74BE" w:rsidRDefault="008E207C" w:rsidP="00BC740D">
            <w:pPr>
              <w:rPr>
                <w:rFonts w:ascii="Times New Roman" w:hAnsi="Times New Roman" w:cs="Times New Roman"/>
                <w:sz w:val="20"/>
                <w:szCs w:val="20"/>
              </w:rPr>
            </w:pPr>
            <w:r w:rsidRPr="00ED74BE">
              <w:rPr>
                <w:rFonts w:ascii="Times New Roman" w:hAnsi="Times New Roman" w:cs="Times New Roman"/>
                <w:sz w:val="20"/>
                <w:szCs w:val="20"/>
              </w:rPr>
              <w:t>FTC Safeguards</w:t>
            </w:r>
          </w:p>
        </w:tc>
        <w:tc>
          <w:tcPr>
            <w:tcW w:w="990" w:type="dxa"/>
          </w:tcPr>
          <w:p w14:paraId="77222EA6" w14:textId="3C69F689" w:rsidR="008E207C" w:rsidRPr="00ED74BE" w:rsidRDefault="008E207C" w:rsidP="00BC740D">
            <w:pPr>
              <w:jc w:val="center"/>
              <w:rPr>
                <w:rFonts w:ascii="Times New Roman" w:hAnsi="Times New Roman" w:cs="Times New Roman"/>
                <w:sz w:val="20"/>
                <w:szCs w:val="20"/>
              </w:rPr>
            </w:pPr>
            <w:r>
              <w:rPr>
                <w:rFonts w:ascii="Times New Roman" w:hAnsi="Times New Roman" w:cs="Times New Roman"/>
                <w:sz w:val="20"/>
                <w:szCs w:val="20"/>
              </w:rPr>
              <w:t>2.27</w:t>
            </w:r>
          </w:p>
        </w:tc>
        <w:tc>
          <w:tcPr>
            <w:tcW w:w="1350" w:type="dxa"/>
          </w:tcPr>
          <w:p w14:paraId="756488DE" w14:textId="56249AF5"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47</w:t>
            </w:r>
          </w:p>
        </w:tc>
        <w:tc>
          <w:tcPr>
            <w:tcW w:w="1170" w:type="dxa"/>
          </w:tcPr>
          <w:p w14:paraId="487DADA8" w14:textId="338805B0" w:rsidR="008E207C" w:rsidRPr="00ED74BE" w:rsidRDefault="008E207C" w:rsidP="00BC740D">
            <w:pPr>
              <w:jc w:val="center"/>
              <w:rPr>
                <w:rFonts w:ascii="Times New Roman" w:hAnsi="Times New Roman" w:cs="Times New Roman"/>
                <w:sz w:val="20"/>
                <w:szCs w:val="20"/>
              </w:rPr>
            </w:pPr>
            <w:r w:rsidRPr="008E207C">
              <w:rPr>
                <w:rFonts w:ascii="Times New Roman" w:hAnsi="Times New Roman" w:cs="Times New Roman"/>
                <w:sz w:val="20"/>
                <w:szCs w:val="20"/>
              </w:rPr>
              <w:t>2.44</w:t>
            </w:r>
          </w:p>
        </w:tc>
        <w:tc>
          <w:tcPr>
            <w:tcW w:w="990" w:type="dxa"/>
          </w:tcPr>
          <w:p w14:paraId="33DE4ACA" w14:textId="77777777" w:rsidR="008E207C" w:rsidRPr="00ED74BE" w:rsidRDefault="008E207C" w:rsidP="00BC740D">
            <w:pPr>
              <w:jc w:val="center"/>
              <w:rPr>
                <w:rFonts w:ascii="Times New Roman" w:hAnsi="Times New Roman" w:cs="Times New Roman"/>
                <w:sz w:val="20"/>
                <w:szCs w:val="20"/>
              </w:rPr>
            </w:pPr>
            <w:r w:rsidRPr="00ED74BE">
              <w:rPr>
                <w:rFonts w:ascii="Times New Roman" w:hAnsi="Times New Roman" w:cs="Times New Roman"/>
                <w:sz w:val="20"/>
                <w:szCs w:val="20"/>
              </w:rPr>
              <w:t>16</w:t>
            </w:r>
          </w:p>
        </w:tc>
      </w:tr>
      <w:tr w:rsidR="008E207C" w14:paraId="6BECA8A1" w14:textId="77777777" w:rsidTr="008E207C">
        <w:tc>
          <w:tcPr>
            <w:tcW w:w="1890" w:type="dxa"/>
          </w:tcPr>
          <w:p w14:paraId="607B18FD" w14:textId="0F1071B7" w:rsidR="008E207C" w:rsidRPr="00ED74BE" w:rsidRDefault="008E207C" w:rsidP="00BC740D">
            <w:pPr>
              <w:rPr>
                <w:rFonts w:ascii="Times New Roman" w:hAnsi="Times New Roman" w:cs="Times New Roman"/>
                <w:sz w:val="20"/>
                <w:szCs w:val="20"/>
              </w:rPr>
            </w:pPr>
            <w:r>
              <w:rPr>
                <w:rFonts w:ascii="Times New Roman" w:hAnsi="Times New Roman" w:cs="Times New Roman"/>
                <w:sz w:val="20"/>
                <w:szCs w:val="20"/>
              </w:rPr>
              <w:t xml:space="preserve">Framework Average </w:t>
            </w:r>
          </w:p>
        </w:tc>
        <w:tc>
          <w:tcPr>
            <w:tcW w:w="990" w:type="dxa"/>
          </w:tcPr>
          <w:p w14:paraId="6D7A7CA5" w14:textId="14AE2BC8" w:rsidR="008E207C" w:rsidRDefault="008E207C" w:rsidP="00BC740D">
            <w:pPr>
              <w:jc w:val="center"/>
              <w:rPr>
                <w:rFonts w:ascii="Times New Roman" w:hAnsi="Times New Roman" w:cs="Times New Roman"/>
                <w:sz w:val="20"/>
                <w:szCs w:val="20"/>
              </w:rPr>
            </w:pPr>
            <w:r>
              <w:rPr>
                <w:rFonts w:ascii="Times New Roman" w:hAnsi="Times New Roman" w:cs="Times New Roman"/>
                <w:sz w:val="20"/>
                <w:szCs w:val="20"/>
              </w:rPr>
              <w:t>1.49</w:t>
            </w:r>
          </w:p>
        </w:tc>
        <w:tc>
          <w:tcPr>
            <w:tcW w:w="1350" w:type="dxa"/>
          </w:tcPr>
          <w:p w14:paraId="0F0CC4E0" w14:textId="2C411DFE" w:rsidR="008E207C" w:rsidRPr="00ED74BE" w:rsidRDefault="008E207C" w:rsidP="00BC740D">
            <w:pPr>
              <w:jc w:val="center"/>
              <w:rPr>
                <w:rFonts w:ascii="Times New Roman" w:hAnsi="Times New Roman" w:cs="Times New Roman"/>
                <w:sz w:val="20"/>
                <w:szCs w:val="20"/>
              </w:rPr>
            </w:pPr>
            <w:r>
              <w:rPr>
                <w:rFonts w:ascii="Times New Roman" w:hAnsi="Times New Roman" w:cs="Times New Roman"/>
                <w:sz w:val="20"/>
                <w:szCs w:val="20"/>
              </w:rPr>
              <w:t>2.38</w:t>
            </w:r>
          </w:p>
        </w:tc>
        <w:tc>
          <w:tcPr>
            <w:tcW w:w="1170" w:type="dxa"/>
          </w:tcPr>
          <w:p w14:paraId="657306B9" w14:textId="19549EDC" w:rsidR="008E207C" w:rsidRDefault="008E207C" w:rsidP="00BC740D">
            <w:pPr>
              <w:jc w:val="center"/>
              <w:rPr>
                <w:rFonts w:ascii="Times New Roman" w:hAnsi="Times New Roman" w:cs="Times New Roman"/>
                <w:sz w:val="20"/>
                <w:szCs w:val="20"/>
              </w:rPr>
            </w:pPr>
            <w:r>
              <w:rPr>
                <w:rFonts w:ascii="Times New Roman" w:hAnsi="Times New Roman" w:cs="Times New Roman"/>
                <w:sz w:val="20"/>
                <w:szCs w:val="20"/>
              </w:rPr>
              <w:t>2.40</w:t>
            </w:r>
          </w:p>
        </w:tc>
        <w:tc>
          <w:tcPr>
            <w:tcW w:w="990" w:type="dxa"/>
          </w:tcPr>
          <w:p w14:paraId="511368C8" w14:textId="39294026" w:rsidR="008E207C" w:rsidRPr="00ED74BE" w:rsidRDefault="008E207C" w:rsidP="00BC740D">
            <w:pPr>
              <w:jc w:val="center"/>
              <w:rPr>
                <w:rFonts w:ascii="Times New Roman" w:hAnsi="Times New Roman" w:cs="Times New Roman"/>
                <w:sz w:val="20"/>
                <w:szCs w:val="20"/>
              </w:rPr>
            </w:pPr>
            <w:r>
              <w:rPr>
                <w:rFonts w:ascii="Times New Roman" w:hAnsi="Times New Roman" w:cs="Times New Roman"/>
                <w:sz w:val="20"/>
                <w:szCs w:val="20"/>
              </w:rPr>
              <w:t>199</w:t>
            </w:r>
          </w:p>
        </w:tc>
      </w:tr>
    </w:tbl>
    <w:p w14:paraId="05719F24" w14:textId="6C224E22" w:rsidR="008E207C" w:rsidRDefault="008E207C" w:rsidP="006751DB">
      <w:pPr>
        <w:rPr>
          <w:rFonts w:ascii="Times New Roman" w:hAnsi="Times New Roman" w:cs="Times New Roman"/>
        </w:rPr>
      </w:pPr>
    </w:p>
    <w:p w14:paraId="08B3BE69" w14:textId="77777777" w:rsidR="008E207C" w:rsidRDefault="008E207C" w:rsidP="006751DB">
      <w:pPr>
        <w:rPr>
          <w:rFonts w:ascii="Times New Roman" w:hAnsi="Times New Roman" w:cs="Times New Roman"/>
        </w:rPr>
      </w:pPr>
    </w:p>
    <w:p w14:paraId="30BBF60A" w14:textId="20A53FBF" w:rsidR="008E207C" w:rsidRDefault="008E207C" w:rsidP="006751DB">
      <w:pPr>
        <w:rPr>
          <w:rFonts w:ascii="Times New Roman" w:hAnsi="Times New Roman" w:cs="Times New Roman"/>
        </w:rPr>
      </w:pPr>
    </w:p>
    <w:p w14:paraId="59C81179" w14:textId="77777777" w:rsidR="00353FBA" w:rsidRDefault="00353FBA" w:rsidP="006751DB">
      <w:pPr>
        <w:rPr>
          <w:rFonts w:ascii="Times New Roman" w:hAnsi="Times New Roman" w:cs="Times New Roman"/>
        </w:rPr>
      </w:pPr>
    </w:p>
    <w:p w14:paraId="73282B0F" w14:textId="77777777" w:rsidR="00353FBA" w:rsidRDefault="00353FBA" w:rsidP="006751DB">
      <w:pPr>
        <w:rPr>
          <w:rFonts w:ascii="Times New Roman" w:hAnsi="Times New Roman" w:cs="Times New Roman"/>
        </w:rPr>
      </w:pPr>
    </w:p>
    <w:p w14:paraId="593E8AD4" w14:textId="77777777" w:rsidR="00353FBA" w:rsidRDefault="00353FBA" w:rsidP="006751DB">
      <w:pPr>
        <w:rPr>
          <w:rFonts w:ascii="Times New Roman" w:hAnsi="Times New Roman" w:cs="Times New Roman"/>
        </w:rPr>
      </w:pPr>
    </w:p>
    <w:p w14:paraId="50996349" w14:textId="77777777" w:rsidR="00353FBA" w:rsidRDefault="00353FBA" w:rsidP="006751DB">
      <w:pPr>
        <w:rPr>
          <w:rFonts w:ascii="Times New Roman" w:hAnsi="Times New Roman" w:cs="Times New Roman"/>
        </w:rPr>
      </w:pPr>
    </w:p>
    <w:p w14:paraId="60DE79F6" w14:textId="77777777" w:rsidR="00353FBA" w:rsidRDefault="00353FBA" w:rsidP="006751DB">
      <w:pPr>
        <w:rPr>
          <w:rFonts w:ascii="Times New Roman" w:hAnsi="Times New Roman" w:cs="Times New Roman"/>
        </w:rPr>
      </w:pPr>
    </w:p>
    <w:p w14:paraId="7213E1A4" w14:textId="77777777" w:rsidR="00353FBA" w:rsidRDefault="00353FBA" w:rsidP="006751DB">
      <w:pPr>
        <w:rPr>
          <w:rFonts w:ascii="Times New Roman" w:hAnsi="Times New Roman" w:cs="Times New Roman"/>
        </w:rPr>
      </w:pPr>
    </w:p>
    <w:p w14:paraId="25036C61" w14:textId="77777777" w:rsidR="00353FBA" w:rsidRDefault="00353FBA" w:rsidP="006751DB">
      <w:pPr>
        <w:rPr>
          <w:rFonts w:ascii="Times New Roman" w:hAnsi="Times New Roman" w:cs="Times New Roman"/>
        </w:rPr>
      </w:pPr>
    </w:p>
    <w:p w14:paraId="2C9CB0E8" w14:textId="77777777" w:rsidR="00353FBA" w:rsidRDefault="00353FBA" w:rsidP="006751DB">
      <w:pPr>
        <w:rPr>
          <w:rFonts w:ascii="Times New Roman" w:hAnsi="Times New Roman" w:cs="Times New Roman"/>
        </w:rPr>
      </w:pPr>
    </w:p>
    <w:p w14:paraId="1212C993" w14:textId="77777777" w:rsidR="00353FBA" w:rsidRDefault="00353FBA" w:rsidP="006751DB">
      <w:pPr>
        <w:rPr>
          <w:rFonts w:ascii="Times New Roman" w:hAnsi="Times New Roman" w:cs="Times New Roman"/>
        </w:rPr>
      </w:pPr>
    </w:p>
    <w:p w14:paraId="4D521745" w14:textId="77777777" w:rsidR="00353FBA" w:rsidRDefault="00353FBA" w:rsidP="006751DB">
      <w:pPr>
        <w:rPr>
          <w:rFonts w:ascii="Times New Roman" w:hAnsi="Times New Roman" w:cs="Times New Roman"/>
        </w:rPr>
      </w:pPr>
    </w:p>
    <w:p w14:paraId="785FDE51" w14:textId="77777777" w:rsidR="008E207C" w:rsidRDefault="008E207C"/>
    <w:p w14:paraId="5FC5F6F3" w14:textId="77777777" w:rsidR="00353FBA" w:rsidRDefault="00353FBA"/>
    <w:p w14:paraId="7DAC7851" w14:textId="61539D49" w:rsidR="008E207C" w:rsidRPr="00353FBA" w:rsidRDefault="006751DB">
      <w:pPr>
        <w:rPr>
          <w:rFonts w:ascii="Times New Roman" w:hAnsi="Times New Roman" w:cs="Times New Roman"/>
          <w:sz w:val="22"/>
          <w:szCs w:val="22"/>
        </w:rPr>
      </w:pPr>
      <w:r w:rsidRPr="00353FBA">
        <w:rPr>
          <w:rFonts w:ascii="Times New Roman" w:hAnsi="Times New Roman" w:cs="Times New Roman"/>
          <w:sz w:val="22"/>
          <w:szCs w:val="22"/>
        </w:rPr>
        <w:t xml:space="preserve">Table </w:t>
      </w:r>
      <w:r w:rsidR="008E207C" w:rsidRPr="00353FBA">
        <w:rPr>
          <w:rFonts w:ascii="Times New Roman" w:hAnsi="Times New Roman" w:cs="Times New Roman"/>
          <w:sz w:val="22"/>
          <w:szCs w:val="22"/>
        </w:rPr>
        <w:t>3.</w:t>
      </w:r>
    </w:p>
    <w:p w14:paraId="39BD4B74" w14:textId="136D254B" w:rsidR="008E207C" w:rsidRPr="00353FBA" w:rsidRDefault="008E207C">
      <w:pPr>
        <w:rPr>
          <w:rFonts w:ascii="Times New Roman" w:hAnsi="Times New Roman" w:cs="Times New Roman"/>
          <w:sz w:val="22"/>
          <w:szCs w:val="22"/>
        </w:rPr>
      </w:pPr>
      <w:r w:rsidRPr="00353FBA">
        <w:rPr>
          <w:rFonts w:ascii="Times New Roman" w:hAnsi="Times New Roman" w:cs="Times New Roman"/>
          <w:sz w:val="22"/>
          <w:szCs w:val="22"/>
        </w:rPr>
        <w:t>Comparison of Organizational Context Across AI Models</w:t>
      </w:r>
    </w:p>
    <w:tbl>
      <w:tblPr>
        <w:tblStyle w:val="TableGrid"/>
        <w:tblW w:w="10170" w:type="dxa"/>
        <w:tblInd w:w="-545" w:type="dxa"/>
        <w:tblLayout w:type="fixed"/>
        <w:tblLook w:val="04A0" w:firstRow="1" w:lastRow="0" w:firstColumn="1" w:lastColumn="0" w:noHBand="0" w:noVBand="1"/>
      </w:tblPr>
      <w:tblGrid>
        <w:gridCol w:w="1170"/>
        <w:gridCol w:w="1350"/>
        <w:gridCol w:w="1350"/>
        <w:gridCol w:w="1530"/>
        <w:gridCol w:w="4770"/>
      </w:tblGrid>
      <w:tr w:rsidR="00353FBA" w:rsidRPr="00353FBA" w14:paraId="73C3D437" w14:textId="58E6C91B" w:rsidTr="00353FBA">
        <w:tc>
          <w:tcPr>
            <w:tcW w:w="1170" w:type="dxa"/>
          </w:tcPr>
          <w:p w14:paraId="166DCC1F" w14:textId="77777777" w:rsidR="00353FBA" w:rsidRPr="00353FBA" w:rsidRDefault="00353FBA" w:rsidP="00BC740D">
            <w:pPr>
              <w:jc w:val="center"/>
              <w:rPr>
                <w:rFonts w:ascii="Times New Roman" w:hAnsi="Times New Roman" w:cs="Times New Roman"/>
                <w:sz w:val="20"/>
                <w:szCs w:val="20"/>
              </w:rPr>
            </w:pPr>
            <w:r w:rsidRPr="00353FBA">
              <w:rPr>
                <w:rFonts w:ascii="Times New Roman" w:hAnsi="Times New Roman" w:cs="Times New Roman"/>
                <w:sz w:val="20"/>
                <w:szCs w:val="20"/>
              </w:rPr>
              <w:t>Framework</w:t>
            </w:r>
          </w:p>
        </w:tc>
        <w:tc>
          <w:tcPr>
            <w:tcW w:w="1350" w:type="dxa"/>
          </w:tcPr>
          <w:p w14:paraId="0C11D7D7" w14:textId="77777777" w:rsidR="00353FBA" w:rsidRPr="00353FBA" w:rsidRDefault="00353FBA" w:rsidP="00BC740D">
            <w:pPr>
              <w:jc w:val="center"/>
              <w:rPr>
                <w:rFonts w:ascii="Times New Roman" w:hAnsi="Times New Roman" w:cs="Times New Roman"/>
                <w:sz w:val="20"/>
                <w:szCs w:val="20"/>
              </w:rPr>
            </w:pPr>
            <w:r w:rsidRPr="00353FBA">
              <w:rPr>
                <w:rFonts w:ascii="Times New Roman" w:hAnsi="Times New Roman" w:cs="Times New Roman"/>
                <w:sz w:val="20"/>
                <w:szCs w:val="20"/>
              </w:rPr>
              <w:t>Private Sector</w:t>
            </w:r>
          </w:p>
          <w:p w14:paraId="63DE6240" w14:textId="128BCD6B" w:rsidR="00353FBA" w:rsidRPr="00353FBA" w:rsidRDefault="00353FBA" w:rsidP="00BC740D">
            <w:pPr>
              <w:jc w:val="center"/>
              <w:rPr>
                <w:rFonts w:ascii="Times New Roman" w:hAnsi="Times New Roman" w:cs="Times New Roman"/>
                <w:sz w:val="20"/>
                <w:szCs w:val="20"/>
              </w:rPr>
            </w:pPr>
            <w:r w:rsidRPr="00353FBA">
              <w:rPr>
                <w:rFonts w:ascii="Times New Roman" w:hAnsi="Times New Roman" w:cs="Times New Roman"/>
                <w:sz w:val="20"/>
                <w:szCs w:val="20"/>
              </w:rPr>
              <w:t>Mean</w:t>
            </w:r>
          </w:p>
        </w:tc>
        <w:tc>
          <w:tcPr>
            <w:tcW w:w="1350" w:type="dxa"/>
          </w:tcPr>
          <w:p w14:paraId="0043B88A" w14:textId="61A9D667" w:rsidR="00353FBA" w:rsidRPr="00353FBA" w:rsidRDefault="00353FBA" w:rsidP="00BC740D">
            <w:pPr>
              <w:jc w:val="center"/>
              <w:rPr>
                <w:rFonts w:ascii="Times New Roman" w:hAnsi="Times New Roman" w:cs="Times New Roman"/>
                <w:sz w:val="20"/>
                <w:szCs w:val="20"/>
              </w:rPr>
            </w:pPr>
            <w:r w:rsidRPr="00353FBA">
              <w:rPr>
                <w:rFonts w:ascii="Times New Roman" w:hAnsi="Times New Roman" w:cs="Times New Roman"/>
                <w:sz w:val="20"/>
                <w:szCs w:val="20"/>
              </w:rPr>
              <w:t>Public Sector</w:t>
            </w:r>
          </w:p>
          <w:p w14:paraId="0258E4D3" w14:textId="5E869EB4" w:rsidR="00353FBA" w:rsidRPr="00353FBA" w:rsidRDefault="00353FBA" w:rsidP="00BC740D">
            <w:pPr>
              <w:jc w:val="center"/>
              <w:rPr>
                <w:rFonts w:ascii="Times New Roman" w:hAnsi="Times New Roman" w:cs="Times New Roman"/>
                <w:sz w:val="20"/>
                <w:szCs w:val="20"/>
              </w:rPr>
            </w:pPr>
            <w:r w:rsidRPr="00353FBA">
              <w:rPr>
                <w:rFonts w:ascii="Times New Roman" w:hAnsi="Times New Roman" w:cs="Times New Roman"/>
                <w:sz w:val="20"/>
                <w:szCs w:val="20"/>
              </w:rPr>
              <w:t>Mean</w:t>
            </w:r>
          </w:p>
        </w:tc>
        <w:tc>
          <w:tcPr>
            <w:tcW w:w="1530" w:type="dxa"/>
          </w:tcPr>
          <w:p w14:paraId="23AF8761" w14:textId="77777777" w:rsidR="00353FBA" w:rsidRPr="00353FBA" w:rsidRDefault="00353FBA" w:rsidP="00BC740D">
            <w:pPr>
              <w:jc w:val="center"/>
              <w:rPr>
                <w:rFonts w:ascii="Times New Roman" w:hAnsi="Times New Roman" w:cs="Times New Roman"/>
                <w:sz w:val="20"/>
                <w:szCs w:val="20"/>
              </w:rPr>
            </w:pPr>
            <w:r w:rsidRPr="00353FBA">
              <w:rPr>
                <w:rFonts w:ascii="Times New Roman" w:hAnsi="Times New Roman" w:cs="Times New Roman"/>
                <w:sz w:val="20"/>
                <w:szCs w:val="20"/>
              </w:rPr>
              <w:t xml:space="preserve">Organizational </w:t>
            </w:r>
          </w:p>
          <w:p w14:paraId="244B1C96" w14:textId="62FE2502" w:rsidR="00353FBA" w:rsidRPr="00353FBA" w:rsidRDefault="00353FBA" w:rsidP="00BC740D">
            <w:pPr>
              <w:jc w:val="center"/>
              <w:rPr>
                <w:rFonts w:ascii="Times New Roman" w:hAnsi="Times New Roman" w:cs="Times New Roman"/>
                <w:sz w:val="20"/>
                <w:szCs w:val="20"/>
              </w:rPr>
            </w:pPr>
            <w:r w:rsidRPr="00353FBA">
              <w:rPr>
                <w:rFonts w:ascii="Times New Roman" w:hAnsi="Times New Roman" w:cs="Times New Roman"/>
                <w:sz w:val="20"/>
                <w:szCs w:val="20"/>
              </w:rPr>
              <w:t>Gap</w:t>
            </w:r>
          </w:p>
        </w:tc>
        <w:tc>
          <w:tcPr>
            <w:tcW w:w="4770" w:type="dxa"/>
          </w:tcPr>
          <w:p w14:paraId="28BDE854" w14:textId="165430A1" w:rsidR="00353FBA" w:rsidRPr="00353FBA" w:rsidRDefault="00353FBA" w:rsidP="006751DB">
            <w:pPr>
              <w:jc w:val="center"/>
              <w:rPr>
                <w:rFonts w:ascii="Times New Roman" w:hAnsi="Times New Roman" w:cs="Times New Roman"/>
                <w:sz w:val="20"/>
                <w:szCs w:val="20"/>
              </w:rPr>
            </w:pPr>
            <w:r w:rsidRPr="00353FBA">
              <w:rPr>
                <w:rFonts w:ascii="Times New Roman" w:hAnsi="Times New Roman" w:cs="Times New Roman"/>
                <w:sz w:val="20"/>
                <w:szCs w:val="20"/>
              </w:rPr>
              <w:t>Key Findings</w:t>
            </w:r>
          </w:p>
        </w:tc>
      </w:tr>
      <w:tr w:rsidR="00353FBA" w:rsidRPr="00353FBA" w14:paraId="04FF612E" w14:textId="188697FD" w:rsidTr="004936B1">
        <w:trPr>
          <w:trHeight w:val="656"/>
        </w:trPr>
        <w:tc>
          <w:tcPr>
            <w:tcW w:w="1170" w:type="dxa"/>
          </w:tcPr>
          <w:p w14:paraId="3AB1458E"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lastRenderedPageBreak/>
              <w:t>NIST CSF</w:t>
            </w:r>
          </w:p>
        </w:tc>
        <w:tc>
          <w:tcPr>
            <w:tcW w:w="1350" w:type="dxa"/>
            <w:vAlign w:val="center"/>
          </w:tcPr>
          <w:p w14:paraId="3DC630ED" w14:textId="752AC05D"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1.97</w:t>
            </w:r>
          </w:p>
        </w:tc>
        <w:tc>
          <w:tcPr>
            <w:tcW w:w="1350" w:type="dxa"/>
            <w:vAlign w:val="center"/>
          </w:tcPr>
          <w:p w14:paraId="774FD3DA" w14:textId="0422A128"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2.01</w:t>
            </w:r>
          </w:p>
        </w:tc>
        <w:tc>
          <w:tcPr>
            <w:tcW w:w="1530" w:type="dxa"/>
            <w:vAlign w:val="center"/>
          </w:tcPr>
          <w:p w14:paraId="4C7F57A4" w14:textId="3F8D2844"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0.04</w:t>
            </w:r>
          </w:p>
        </w:tc>
        <w:tc>
          <w:tcPr>
            <w:tcW w:w="4770" w:type="dxa"/>
          </w:tcPr>
          <w:p w14:paraId="7E818499" w14:textId="25200D82"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 Organizational difference was minimal, indicating that all three AI models assigned nearly identical maturity levels to the public- and private-sector policy datasets.</w:t>
            </w:r>
          </w:p>
        </w:tc>
      </w:tr>
      <w:tr w:rsidR="00353FBA" w:rsidRPr="00353FBA" w14:paraId="6B902957" w14:textId="49C8CA8E" w:rsidTr="004936B1">
        <w:tc>
          <w:tcPr>
            <w:tcW w:w="1170" w:type="dxa"/>
          </w:tcPr>
          <w:p w14:paraId="543FDFAD"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NIST SP 800-53</w:t>
            </w:r>
          </w:p>
        </w:tc>
        <w:tc>
          <w:tcPr>
            <w:tcW w:w="1350" w:type="dxa"/>
            <w:vAlign w:val="center"/>
          </w:tcPr>
          <w:p w14:paraId="3174D201" w14:textId="254E7D0A"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1.93</w:t>
            </w:r>
          </w:p>
        </w:tc>
        <w:tc>
          <w:tcPr>
            <w:tcW w:w="1350" w:type="dxa"/>
            <w:vAlign w:val="center"/>
          </w:tcPr>
          <w:p w14:paraId="69A94840" w14:textId="4F1FB549"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2.13</w:t>
            </w:r>
          </w:p>
        </w:tc>
        <w:tc>
          <w:tcPr>
            <w:tcW w:w="1530" w:type="dxa"/>
            <w:vAlign w:val="center"/>
          </w:tcPr>
          <w:p w14:paraId="1E45C1ED" w14:textId="0E7A8465"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0.20</w:t>
            </w:r>
          </w:p>
        </w:tc>
        <w:tc>
          <w:tcPr>
            <w:tcW w:w="4770" w:type="dxa"/>
          </w:tcPr>
          <w:p w14:paraId="370F95DC" w14:textId="3B4D714E"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NIST SP 800-53 exhibited the largest organizational difference, with the public-sector organization receiving a higher average maturity score. This suggests that the government policy documentation provided broader coverage of the governance, risk management, and security control requirements emphasized by the framework.</w:t>
            </w:r>
          </w:p>
        </w:tc>
      </w:tr>
      <w:tr w:rsidR="00353FBA" w:rsidRPr="00353FBA" w14:paraId="17608314" w14:textId="6BF4DE74" w:rsidTr="004936B1">
        <w:tc>
          <w:tcPr>
            <w:tcW w:w="1170" w:type="dxa"/>
          </w:tcPr>
          <w:p w14:paraId="148EEF8F"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ISO/IEC 27001</w:t>
            </w:r>
          </w:p>
        </w:tc>
        <w:tc>
          <w:tcPr>
            <w:tcW w:w="1350" w:type="dxa"/>
            <w:vAlign w:val="center"/>
          </w:tcPr>
          <w:p w14:paraId="4A890BA7" w14:textId="0D35C620"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2.31</w:t>
            </w:r>
          </w:p>
        </w:tc>
        <w:tc>
          <w:tcPr>
            <w:tcW w:w="1350" w:type="dxa"/>
            <w:vAlign w:val="center"/>
          </w:tcPr>
          <w:p w14:paraId="0690E32F" w14:textId="62FE6C46"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2.31</w:t>
            </w:r>
          </w:p>
        </w:tc>
        <w:tc>
          <w:tcPr>
            <w:tcW w:w="1530" w:type="dxa"/>
            <w:vAlign w:val="center"/>
          </w:tcPr>
          <w:p w14:paraId="7F68298F" w14:textId="558CB18A"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0.00</w:t>
            </w:r>
          </w:p>
        </w:tc>
        <w:tc>
          <w:tcPr>
            <w:tcW w:w="4770" w:type="dxa"/>
          </w:tcPr>
          <w:p w14:paraId="2C06F78F" w14:textId="1B6E20D3"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 xml:space="preserve">No organizational difference was observed, indicating identical average maturity assessments across both </w:t>
            </w:r>
            <w:r w:rsidRPr="00353FBA">
              <w:rPr>
                <w:rFonts w:ascii="Times New Roman" w:hAnsi="Times New Roman" w:cs="Times New Roman"/>
                <w:sz w:val="20"/>
                <w:szCs w:val="20"/>
              </w:rPr>
              <w:t>sectors.</w:t>
            </w:r>
          </w:p>
        </w:tc>
      </w:tr>
      <w:tr w:rsidR="00353FBA" w:rsidRPr="00353FBA" w14:paraId="76051AA6" w14:textId="225406B0" w:rsidTr="004936B1">
        <w:tc>
          <w:tcPr>
            <w:tcW w:w="1170" w:type="dxa"/>
          </w:tcPr>
          <w:p w14:paraId="6C914EE9"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CIS CSC</w:t>
            </w:r>
          </w:p>
        </w:tc>
        <w:tc>
          <w:tcPr>
            <w:tcW w:w="1350" w:type="dxa"/>
            <w:vAlign w:val="center"/>
          </w:tcPr>
          <w:p w14:paraId="1D8D26C6" w14:textId="1183DB7E"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2.11</w:t>
            </w:r>
          </w:p>
        </w:tc>
        <w:tc>
          <w:tcPr>
            <w:tcW w:w="1350" w:type="dxa"/>
            <w:vAlign w:val="center"/>
          </w:tcPr>
          <w:p w14:paraId="4B154395" w14:textId="0A883AE2"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2.05</w:t>
            </w:r>
          </w:p>
        </w:tc>
        <w:tc>
          <w:tcPr>
            <w:tcW w:w="1530" w:type="dxa"/>
            <w:vAlign w:val="center"/>
          </w:tcPr>
          <w:p w14:paraId="09CE9A2D" w14:textId="274795DE"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0.06</w:t>
            </w:r>
          </w:p>
        </w:tc>
        <w:tc>
          <w:tcPr>
            <w:tcW w:w="4770" w:type="dxa"/>
          </w:tcPr>
          <w:p w14:paraId="0C914A55" w14:textId="3A13273A"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Organizational difference remained low, indicating that both organizations demonstrated comparable maturity in implementing critical security controls despite differences in policy structure and organizational context.</w:t>
            </w:r>
          </w:p>
        </w:tc>
      </w:tr>
      <w:tr w:rsidR="00353FBA" w:rsidRPr="00353FBA" w14:paraId="10AB646C" w14:textId="3CDD61CA" w:rsidTr="004936B1">
        <w:tc>
          <w:tcPr>
            <w:tcW w:w="1170" w:type="dxa"/>
          </w:tcPr>
          <w:p w14:paraId="3CDC3DD4"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CMMC</w:t>
            </w:r>
          </w:p>
        </w:tc>
        <w:tc>
          <w:tcPr>
            <w:tcW w:w="1350" w:type="dxa"/>
            <w:vAlign w:val="center"/>
          </w:tcPr>
          <w:p w14:paraId="683CBAAA" w14:textId="004D2E1C"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2.02</w:t>
            </w:r>
          </w:p>
        </w:tc>
        <w:tc>
          <w:tcPr>
            <w:tcW w:w="1350" w:type="dxa"/>
            <w:vAlign w:val="center"/>
          </w:tcPr>
          <w:p w14:paraId="7CD204FD" w14:textId="2BEE8E16"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2.07</w:t>
            </w:r>
          </w:p>
        </w:tc>
        <w:tc>
          <w:tcPr>
            <w:tcW w:w="1530" w:type="dxa"/>
            <w:vAlign w:val="center"/>
          </w:tcPr>
          <w:p w14:paraId="20165A12" w14:textId="79CDB862"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0.05</w:t>
            </w:r>
          </w:p>
        </w:tc>
        <w:tc>
          <w:tcPr>
            <w:tcW w:w="4770" w:type="dxa"/>
          </w:tcPr>
          <w:p w14:paraId="13FD6418" w14:textId="643CF2AD"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Organizational difference was minimal, suggesting that both policy datasets reflected similar maturity</w:t>
            </w:r>
            <w:r w:rsidRPr="00353FBA">
              <w:rPr>
                <w:rFonts w:ascii="Times New Roman" w:hAnsi="Times New Roman" w:cs="Times New Roman"/>
                <w:sz w:val="20"/>
                <w:szCs w:val="20"/>
              </w:rPr>
              <w:t>.</w:t>
            </w:r>
          </w:p>
        </w:tc>
      </w:tr>
      <w:tr w:rsidR="00353FBA" w:rsidRPr="00353FBA" w14:paraId="4C570A65" w14:textId="7AF59ACC" w:rsidTr="00353FBA">
        <w:trPr>
          <w:trHeight w:val="1214"/>
        </w:trPr>
        <w:tc>
          <w:tcPr>
            <w:tcW w:w="1170" w:type="dxa"/>
          </w:tcPr>
          <w:p w14:paraId="1A38391C"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HIPAA</w:t>
            </w:r>
          </w:p>
        </w:tc>
        <w:tc>
          <w:tcPr>
            <w:tcW w:w="1350" w:type="dxa"/>
            <w:vAlign w:val="center"/>
          </w:tcPr>
          <w:p w14:paraId="79F3B1A6" w14:textId="64278062"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2.28</w:t>
            </w:r>
          </w:p>
        </w:tc>
        <w:tc>
          <w:tcPr>
            <w:tcW w:w="1350" w:type="dxa"/>
            <w:vAlign w:val="center"/>
          </w:tcPr>
          <w:p w14:paraId="14F31C47" w14:textId="5A75284F"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2.11</w:t>
            </w:r>
          </w:p>
        </w:tc>
        <w:tc>
          <w:tcPr>
            <w:tcW w:w="1530" w:type="dxa"/>
            <w:vAlign w:val="center"/>
          </w:tcPr>
          <w:p w14:paraId="4D9083B8" w14:textId="5B985070"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0.17</w:t>
            </w:r>
          </w:p>
        </w:tc>
        <w:tc>
          <w:tcPr>
            <w:tcW w:w="4770" w:type="dxa"/>
          </w:tcPr>
          <w:p w14:paraId="3B407926" w14:textId="109C6E6D"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HIPAA exhibited one of the largest organizational differences, suggesting that implementation of healthcare-related security controls varied more substantially between the two organizations</w:t>
            </w:r>
            <w:r w:rsidRPr="00353FBA">
              <w:rPr>
                <w:rFonts w:ascii="Times New Roman" w:hAnsi="Times New Roman" w:cs="Times New Roman"/>
                <w:sz w:val="20"/>
                <w:szCs w:val="20"/>
              </w:rPr>
              <w:t>.</w:t>
            </w:r>
          </w:p>
        </w:tc>
      </w:tr>
      <w:tr w:rsidR="00353FBA" w:rsidRPr="00353FBA" w14:paraId="34D9ED9B" w14:textId="33747601" w:rsidTr="004936B1">
        <w:tc>
          <w:tcPr>
            <w:tcW w:w="1170" w:type="dxa"/>
          </w:tcPr>
          <w:p w14:paraId="4236952A"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PCI DSS</w:t>
            </w:r>
          </w:p>
        </w:tc>
        <w:tc>
          <w:tcPr>
            <w:tcW w:w="1350" w:type="dxa"/>
            <w:vAlign w:val="center"/>
          </w:tcPr>
          <w:p w14:paraId="4305493E" w14:textId="7D52CE8C"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1.86</w:t>
            </w:r>
          </w:p>
        </w:tc>
        <w:tc>
          <w:tcPr>
            <w:tcW w:w="1350" w:type="dxa"/>
            <w:vAlign w:val="center"/>
          </w:tcPr>
          <w:p w14:paraId="3CD7B953" w14:textId="6CCAC658"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1.93</w:t>
            </w:r>
          </w:p>
        </w:tc>
        <w:tc>
          <w:tcPr>
            <w:tcW w:w="1530" w:type="dxa"/>
            <w:vAlign w:val="center"/>
          </w:tcPr>
          <w:p w14:paraId="3AED6AE9" w14:textId="3A2816FB"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0.07</w:t>
            </w:r>
          </w:p>
        </w:tc>
        <w:tc>
          <w:tcPr>
            <w:tcW w:w="4770" w:type="dxa"/>
          </w:tcPr>
          <w:p w14:paraId="15DFDDFB" w14:textId="1068E12C"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The public-sector organization achieved a slightly higher mean maturity score; however, the small organizational difference indicates that both organizations demonstrated comparable implementation of payment card security controls.</w:t>
            </w:r>
          </w:p>
        </w:tc>
      </w:tr>
      <w:tr w:rsidR="00353FBA" w:rsidRPr="00353FBA" w14:paraId="479B6059" w14:textId="4853A2F3" w:rsidTr="000C1156">
        <w:tc>
          <w:tcPr>
            <w:tcW w:w="1170" w:type="dxa"/>
          </w:tcPr>
          <w:p w14:paraId="277D3039"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CSA CMM</w:t>
            </w:r>
          </w:p>
        </w:tc>
        <w:tc>
          <w:tcPr>
            <w:tcW w:w="1350" w:type="dxa"/>
            <w:vAlign w:val="center"/>
          </w:tcPr>
          <w:p w14:paraId="08AFB72E" w14:textId="4B164352"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1.94</w:t>
            </w:r>
          </w:p>
        </w:tc>
        <w:tc>
          <w:tcPr>
            <w:tcW w:w="1350" w:type="dxa"/>
            <w:vAlign w:val="center"/>
          </w:tcPr>
          <w:p w14:paraId="5813033A" w14:textId="3021887E"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1.88</w:t>
            </w:r>
          </w:p>
        </w:tc>
        <w:tc>
          <w:tcPr>
            <w:tcW w:w="1530" w:type="dxa"/>
            <w:vAlign w:val="center"/>
          </w:tcPr>
          <w:p w14:paraId="6C6FA5A7" w14:textId="117E0C3D"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0.05</w:t>
            </w:r>
          </w:p>
        </w:tc>
        <w:tc>
          <w:tcPr>
            <w:tcW w:w="4770" w:type="dxa"/>
          </w:tcPr>
          <w:p w14:paraId="4B9F2A08" w14:textId="1B82BB75"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 Organizational difference was minimal, indicating consistent cloud security maturity assessments across both organizations despite differences in organizational context and policy documentation.</w:t>
            </w:r>
          </w:p>
        </w:tc>
      </w:tr>
      <w:tr w:rsidR="00353FBA" w:rsidRPr="00353FBA" w14:paraId="140211DB" w14:textId="341C4202" w:rsidTr="000C1156">
        <w:tc>
          <w:tcPr>
            <w:tcW w:w="1170" w:type="dxa"/>
          </w:tcPr>
          <w:p w14:paraId="2ECC174A"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FTC Safeguards</w:t>
            </w:r>
          </w:p>
        </w:tc>
        <w:tc>
          <w:tcPr>
            <w:tcW w:w="1350" w:type="dxa"/>
            <w:vAlign w:val="center"/>
          </w:tcPr>
          <w:p w14:paraId="66A64D5E" w14:textId="2BA8380F"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2.39</w:t>
            </w:r>
          </w:p>
        </w:tc>
        <w:tc>
          <w:tcPr>
            <w:tcW w:w="1350" w:type="dxa"/>
            <w:vAlign w:val="center"/>
          </w:tcPr>
          <w:p w14:paraId="14F30709" w14:textId="6F7B5E41"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2.47</w:t>
            </w:r>
          </w:p>
        </w:tc>
        <w:tc>
          <w:tcPr>
            <w:tcW w:w="1530" w:type="dxa"/>
            <w:vAlign w:val="center"/>
          </w:tcPr>
          <w:p w14:paraId="4A61AFB9" w14:textId="6ADBD667"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0.08</w:t>
            </w:r>
          </w:p>
        </w:tc>
        <w:tc>
          <w:tcPr>
            <w:tcW w:w="4770" w:type="dxa"/>
          </w:tcPr>
          <w:p w14:paraId="3B1D1D0B" w14:textId="544ECC37"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The public-sector organization received a slightly higher mean maturity score, although the relatively small organizational difference suggests that both organizations demonstrated comparable governance and administrative security practices.</w:t>
            </w:r>
          </w:p>
        </w:tc>
      </w:tr>
      <w:tr w:rsidR="00353FBA" w:rsidRPr="00353FBA" w14:paraId="562BEEB4" w14:textId="77777777" w:rsidTr="002F2DEB">
        <w:tc>
          <w:tcPr>
            <w:tcW w:w="1170" w:type="dxa"/>
          </w:tcPr>
          <w:p w14:paraId="206E07D3" w14:textId="77777777" w:rsidR="00353FBA" w:rsidRPr="00353FBA" w:rsidRDefault="00353FBA" w:rsidP="00353FBA">
            <w:pPr>
              <w:rPr>
                <w:rFonts w:ascii="Times New Roman" w:hAnsi="Times New Roman" w:cs="Times New Roman"/>
                <w:sz w:val="20"/>
                <w:szCs w:val="20"/>
              </w:rPr>
            </w:pPr>
            <w:r w:rsidRPr="00353FBA">
              <w:rPr>
                <w:rFonts w:ascii="Times New Roman" w:hAnsi="Times New Roman" w:cs="Times New Roman"/>
                <w:sz w:val="20"/>
                <w:szCs w:val="20"/>
              </w:rPr>
              <w:t>Framework Average</w:t>
            </w:r>
          </w:p>
          <w:p w14:paraId="019513AA" w14:textId="77777777" w:rsidR="00353FBA" w:rsidRPr="00353FBA" w:rsidRDefault="00353FBA" w:rsidP="00353FBA">
            <w:pPr>
              <w:rPr>
                <w:rFonts w:ascii="Times New Roman" w:hAnsi="Times New Roman" w:cs="Times New Roman"/>
                <w:sz w:val="20"/>
                <w:szCs w:val="20"/>
              </w:rPr>
            </w:pPr>
          </w:p>
        </w:tc>
        <w:tc>
          <w:tcPr>
            <w:tcW w:w="1350" w:type="dxa"/>
            <w:vAlign w:val="center"/>
          </w:tcPr>
          <w:p w14:paraId="4F200180" w14:textId="4B8A0D03"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2.09</w:t>
            </w:r>
          </w:p>
        </w:tc>
        <w:tc>
          <w:tcPr>
            <w:tcW w:w="1350" w:type="dxa"/>
            <w:vAlign w:val="center"/>
          </w:tcPr>
          <w:p w14:paraId="19E673CE" w14:textId="0A220449"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2.11</w:t>
            </w:r>
          </w:p>
        </w:tc>
        <w:tc>
          <w:tcPr>
            <w:tcW w:w="1530" w:type="dxa"/>
            <w:vAlign w:val="center"/>
          </w:tcPr>
          <w:p w14:paraId="38F55EC8" w14:textId="560B0FFA" w:rsidR="00353FBA" w:rsidRPr="00353FBA" w:rsidRDefault="00353FBA" w:rsidP="00353FBA">
            <w:pPr>
              <w:jc w:val="center"/>
              <w:rPr>
                <w:rFonts w:ascii="Times New Roman" w:hAnsi="Times New Roman" w:cs="Times New Roman"/>
                <w:sz w:val="20"/>
                <w:szCs w:val="20"/>
              </w:rPr>
            </w:pPr>
            <w:r w:rsidRPr="00353FBA">
              <w:rPr>
                <w:rFonts w:ascii="Times New Roman" w:hAnsi="Times New Roman" w:cs="Times New Roman"/>
                <w:color w:val="000000"/>
                <w:sz w:val="20"/>
                <w:szCs w:val="20"/>
              </w:rPr>
              <w:t>0.02</w:t>
            </w:r>
          </w:p>
        </w:tc>
        <w:tc>
          <w:tcPr>
            <w:tcW w:w="4770" w:type="dxa"/>
          </w:tcPr>
          <w:p w14:paraId="3841FA4B" w14:textId="43A21800" w:rsidR="00353FBA" w:rsidRPr="00353FBA" w:rsidRDefault="00353FBA" w:rsidP="00353FBA">
            <w:pPr>
              <w:pStyle w:val="ListParagraph"/>
              <w:numPr>
                <w:ilvl w:val="0"/>
                <w:numId w:val="15"/>
              </w:numPr>
              <w:rPr>
                <w:rFonts w:ascii="Times New Roman" w:hAnsi="Times New Roman" w:cs="Times New Roman"/>
                <w:sz w:val="20"/>
                <w:szCs w:val="20"/>
              </w:rPr>
            </w:pPr>
            <w:r w:rsidRPr="00353FBA">
              <w:rPr>
                <w:rFonts w:ascii="Times New Roman" w:hAnsi="Times New Roman" w:cs="Times New Roman"/>
                <w:sz w:val="20"/>
                <w:szCs w:val="20"/>
              </w:rPr>
              <w:t>The overall organizational difference across all evaluated frameworks was minimal, indicating that the public- and private-sector organizations achieved highly comparable average cybersecurity maturity scores. This finding suggests that organizational context had limited influence on the overall AI-assisted maturity assessments, despite differences in policy focus and documentation style.</w:t>
            </w:r>
          </w:p>
        </w:tc>
      </w:tr>
    </w:tbl>
    <w:p w14:paraId="612A2614" w14:textId="0DDD73BC" w:rsidR="00353FBA" w:rsidRDefault="006751DB" w:rsidP="00353FBA">
      <w:pPr>
        <w:rPr>
          <w:rFonts w:ascii="Times New Roman" w:hAnsi="Times New Roman" w:cs="Times New Roman"/>
          <w:sz w:val="20"/>
          <w:szCs w:val="20"/>
        </w:rPr>
      </w:pPr>
      <w:r w:rsidRPr="006751DB">
        <w:rPr>
          <w:rFonts w:ascii="Times New Roman" w:hAnsi="Times New Roman" w:cs="Times New Roman"/>
          <w:b/>
          <w:bCs/>
          <w:sz w:val="20"/>
          <w:szCs w:val="20"/>
        </w:rPr>
        <w:t>Note</w:t>
      </w:r>
      <w:r w:rsidRPr="006751DB">
        <w:rPr>
          <w:rFonts w:ascii="Times New Roman" w:hAnsi="Times New Roman" w:cs="Times New Roman"/>
          <w:sz w:val="20"/>
          <w:szCs w:val="20"/>
        </w:rPr>
        <w:t xml:space="preserve">. Per the assessment methodology provided by Samantha </w:t>
      </w:r>
      <w:r w:rsidR="008E207C" w:rsidRPr="006751DB">
        <w:rPr>
          <w:rFonts w:ascii="Times New Roman" w:hAnsi="Times New Roman" w:cs="Times New Roman"/>
          <w:sz w:val="20"/>
          <w:szCs w:val="20"/>
        </w:rPr>
        <w:t>Schnell</w:t>
      </w:r>
      <w:r w:rsidRPr="006751DB">
        <w:rPr>
          <w:rFonts w:ascii="Times New Roman" w:hAnsi="Times New Roman" w:cs="Times New Roman"/>
          <w:sz w:val="20"/>
          <w:szCs w:val="20"/>
        </w:rPr>
        <w:t>, the reported maturity scores represent a single execution of the AI assessment pipeline.</w:t>
      </w:r>
    </w:p>
    <w:p w14:paraId="27CDDCD3" w14:textId="77777777" w:rsidR="00353FBA" w:rsidRPr="00353FBA" w:rsidRDefault="00353FBA" w:rsidP="00353FBA">
      <w:pPr>
        <w:rPr>
          <w:rFonts w:ascii="Times New Roman" w:hAnsi="Times New Roman" w:cs="Times New Roman"/>
        </w:rPr>
      </w:pPr>
      <w:r w:rsidRPr="00353FBA">
        <w:rPr>
          <w:rFonts w:ascii="Times New Roman" w:hAnsi="Times New Roman" w:cs="Times New Roman"/>
        </w:rPr>
        <w:t>Results</w:t>
      </w:r>
    </w:p>
    <w:p w14:paraId="7CA7D909" w14:textId="77777777" w:rsidR="00353FBA" w:rsidRPr="00353FBA" w:rsidRDefault="00353FBA" w:rsidP="00353FBA">
      <w:pPr>
        <w:rPr>
          <w:rFonts w:ascii="Times New Roman" w:hAnsi="Times New Roman" w:cs="Times New Roman"/>
          <w:b/>
          <w:bCs/>
        </w:rPr>
      </w:pPr>
    </w:p>
    <w:p w14:paraId="1F9D544F" w14:textId="4E3E2FE5" w:rsidR="00353FBA" w:rsidRPr="00353FBA" w:rsidRDefault="00353FBA" w:rsidP="00353FBA">
      <w:pPr>
        <w:rPr>
          <w:rFonts w:ascii="Times New Roman" w:hAnsi="Times New Roman" w:cs="Times New Roman"/>
        </w:rPr>
      </w:pPr>
      <w:r w:rsidRPr="00353FBA">
        <w:rPr>
          <w:rFonts w:ascii="Times New Roman" w:hAnsi="Times New Roman" w:cs="Times New Roman"/>
        </w:rPr>
        <w:tab/>
      </w:r>
      <w:r w:rsidRPr="00353FBA">
        <w:rPr>
          <w:rFonts w:ascii="Times New Roman" w:hAnsi="Times New Roman" w:cs="Times New Roman"/>
        </w:rPr>
        <w:t>Across all evaluated cybersecurity frameworks, both organizations demonstrated highly comparable maturity assessments. The overall framework averages were </w:t>
      </w:r>
      <w:r w:rsidRPr="00353FBA">
        <w:rPr>
          <w:rFonts w:ascii="Times New Roman" w:hAnsi="Times New Roman" w:cs="Times New Roman"/>
          <w:b/>
          <w:bCs/>
        </w:rPr>
        <w:t>2.09</w:t>
      </w:r>
      <w:r w:rsidRPr="00353FBA">
        <w:rPr>
          <w:rFonts w:ascii="Times New Roman" w:hAnsi="Times New Roman" w:cs="Times New Roman"/>
        </w:rPr>
        <w:t xml:space="preserve"> for the Scott &amp; </w:t>
      </w:r>
      <w:r w:rsidRPr="00353FBA">
        <w:rPr>
          <w:rFonts w:ascii="Times New Roman" w:hAnsi="Times New Roman" w:cs="Times New Roman"/>
        </w:rPr>
        <w:lastRenderedPageBreak/>
        <w:t>Scott WISP and </w:t>
      </w:r>
      <w:r w:rsidRPr="00353FBA">
        <w:rPr>
          <w:rFonts w:ascii="Times New Roman" w:hAnsi="Times New Roman" w:cs="Times New Roman"/>
          <w:b/>
          <w:bCs/>
        </w:rPr>
        <w:t>2.11</w:t>
      </w:r>
      <w:r w:rsidRPr="00353FBA">
        <w:rPr>
          <w:rFonts w:ascii="Times New Roman" w:hAnsi="Times New Roman" w:cs="Times New Roman"/>
        </w:rPr>
        <w:t> for the Department of Education, producing an overall Organizational Difference of only </w:t>
      </w:r>
      <w:r w:rsidRPr="00353FBA">
        <w:rPr>
          <w:rFonts w:ascii="Times New Roman" w:hAnsi="Times New Roman" w:cs="Times New Roman"/>
          <w:b/>
          <w:bCs/>
        </w:rPr>
        <w:t>Δ = 0.02</w:t>
      </w:r>
      <w:r w:rsidRPr="00353FBA">
        <w:rPr>
          <w:rFonts w:ascii="Times New Roman" w:hAnsi="Times New Roman" w:cs="Times New Roman"/>
        </w:rPr>
        <w:t>. This finding suggests that organizational context had limited influence on the overall AI-assisted cybersecurity maturity assessments for the policy datasets evaluated in this study.</w:t>
      </w:r>
    </w:p>
    <w:p w14:paraId="65773ACC" w14:textId="77777777" w:rsidR="00353FBA" w:rsidRPr="00353FBA" w:rsidRDefault="00353FBA" w:rsidP="00353FBA">
      <w:pPr>
        <w:rPr>
          <w:rFonts w:ascii="Times New Roman" w:hAnsi="Times New Roman" w:cs="Times New Roman"/>
        </w:rPr>
      </w:pPr>
    </w:p>
    <w:p w14:paraId="71B82361" w14:textId="2A179FD1" w:rsidR="00353FBA" w:rsidRPr="00353FBA" w:rsidRDefault="00353FBA" w:rsidP="00353FBA">
      <w:pPr>
        <w:rPr>
          <w:rFonts w:ascii="Times New Roman" w:hAnsi="Times New Roman" w:cs="Times New Roman"/>
        </w:rPr>
      </w:pPr>
      <w:r w:rsidRPr="00353FBA">
        <w:rPr>
          <w:rFonts w:ascii="Times New Roman" w:hAnsi="Times New Roman" w:cs="Times New Roman"/>
        </w:rPr>
        <w:tab/>
      </w:r>
      <w:r w:rsidRPr="00353FBA">
        <w:rPr>
          <w:rFonts w:ascii="Times New Roman" w:hAnsi="Times New Roman" w:cs="Times New Roman"/>
        </w:rPr>
        <w:t>Most frameworks exhibited relatively small organizational differences, indicating that governance, operational, and technical security controls were assessed similarly across both organizations. NIST CSF (Δ = 0.04), CMMC (Δ = 0.05), CSA CMM (Δ = 0.05), CIS CSC (Δ = 0.06), PCI DSS (Δ = 0.07), and FTC Safeguards (Δ = 0.08) all demonstrated comparable maturity levels between the public- and private-sector policy datasets.</w:t>
      </w:r>
    </w:p>
    <w:p w14:paraId="25E2CE40" w14:textId="77777777" w:rsidR="00353FBA" w:rsidRPr="00353FBA" w:rsidRDefault="00353FBA" w:rsidP="00353FBA">
      <w:pPr>
        <w:rPr>
          <w:rFonts w:ascii="Times New Roman" w:hAnsi="Times New Roman" w:cs="Times New Roman"/>
        </w:rPr>
      </w:pPr>
    </w:p>
    <w:p w14:paraId="4032216C" w14:textId="090F2500" w:rsidR="00353FBA" w:rsidRPr="00353FBA" w:rsidRDefault="00353FBA" w:rsidP="00353FBA">
      <w:pPr>
        <w:rPr>
          <w:rFonts w:ascii="Times New Roman" w:hAnsi="Times New Roman" w:cs="Times New Roman"/>
        </w:rPr>
      </w:pPr>
      <w:r w:rsidRPr="00353FBA">
        <w:rPr>
          <w:rFonts w:ascii="Times New Roman" w:hAnsi="Times New Roman" w:cs="Times New Roman"/>
        </w:rPr>
        <w:tab/>
      </w:r>
      <w:r w:rsidRPr="00353FBA">
        <w:rPr>
          <w:rFonts w:ascii="Times New Roman" w:hAnsi="Times New Roman" w:cs="Times New Roman"/>
        </w:rPr>
        <w:t>The largest organizational difference was observed for </w:t>
      </w:r>
      <w:r w:rsidRPr="00353FBA">
        <w:rPr>
          <w:rFonts w:ascii="Times New Roman" w:hAnsi="Times New Roman" w:cs="Times New Roman"/>
          <w:b/>
          <w:bCs/>
        </w:rPr>
        <w:t>NIST SP 800-53 (Δ = 0.20)</w:t>
      </w:r>
      <w:r w:rsidRPr="00353FBA">
        <w:rPr>
          <w:rFonts w:ascii="Times New Roman" w:hAnsi="Times New Roman" w:cs="Times New Roman"/>
        </w:rPr>
        <w:t>, where the Department of Education achieved a higher average maturity score. This suggests that the government policy documentation provided broader coverage of the governance, risk management, and security control requirements emphasized by the framework.</w:t>
      </w:r>
    </w:p>
    <w:p w14:paraId="5E38F656" w14:textId="77777777" w:rsidR="00353FBA" w:rsidRPr="00353FBA" w:rsidRDefault="00353FBA" w:rsidP="00353FBA">
      <w:pPr>
        <w:rPr>
          <w:rFonts w:ascii="Times New Roman" w:hAnsi="Times New Roman" w:cs="Times New Roman"/>
        </w:rPr>
      </w:pPr>
      <w:r w:rsidRPr="00353FBA">
        <w:rPr>
          <w:rFonts w:ascii="Times New Roman" w:hAnsi="Times New Roman" w:cs="Times New Roman"/>
        </w:rPr>
        <w:t>Similarly, </w:t>
      </w:r>
      <w:r w:rsidRPr="00353FBA">
        <w:rPr>
          <w:rFonts w:ascii="Times New Roman" w:hAnsi="Times New Roman" w:cs="Times New Roman"/>
          <w:b/>
          <w:bCs/>
        </w:rPr>
        <w:t>HIPAA (Δ = 0.17)</w:t>
      </w:r>
      <w:r w:rsidRPr="00353FBA">
        <w:rPr>
          <w:rFonts w:ascii="Times New Roman" w:hAnsi="Times New Roman" w:cs="Times New Roman"/>
        </w:rPr>
        <w:t> exhibited one of the largest organizational differences, suggesting that the implementation and documentation of healthcare-related security controls varied more substantially between the two organizations.</w:t>
      </w:r>
    </w:p>
    <w:p w14:paraId="385224AE" w14:textId="77777777" w:rsidR="00353FBA" w:rsidRPr="00353FBA" w:rsidRDefault="00353FBA" w:rsidP="00353FBA">
      <w:pPr>
        <w:rPr>
          <w:rFonts w:ascii="Times New Roman" w:hAnsi="Times New Roman" w:cs="Times New Roman"/>
        </w:rPr>
      </w:pPr>
    </w:p>
    <w:p w14:paraId="66B8BFFC" w14:textId="2520D78F" w:rsidR="008E207C" w:rsidRPr="00353FBA" w:rsidRDefault="00353FBA" w:rsidP="00353FBA">
      <w:pPr>
        <w:rPr>
          <w:rFonts w:ascii="Times New Roman" w:hAnsi="Times New Roman" w:cs="Times New Roman"/>
        </w:rPr>
      </w:pPr>
      <w:r w:rsidRPr="00353FBA">
        <w:rPr>
          <w:rFonts w:ascii="Times New Roman" w:hAnsi="Times New Roman" w:cs="Times New Roman"/>
        </w:rPr>
        <w:tab/>
      </w:r>
      <w:r w:rsidRPr="00353FBA">
        <w:rPr>
          <w:rFonts w:ascii="Times New Roman" w:hAnsi="Times New Roman" w:cs="Times New Roman"/>
        </w:rPr>
        <w:t>Conversely, </w:t>
      </w:r>
      <w:r w:rsidRPr="00353FBA">
        <w:rPr>
          <w:rFonts w:ascii="Times New Roman" w:hAnsi="Times New Roman" w:cs="Times New Roman"/>
          <w:b/>
          <w:bCs/>
        </w:rPr>
        <w:t>ISO/IEC 27001</w:t>
      </w:r>
      <w:r w:rsidRPr="00353FBA">
        <w:rPr>
          <w:rFonts w:ascii="Times New Roman" w:hAnsi="Times New Roman" w:cs="Times New Roman"/>
        </w:rPr>
        <w:t> produced identical average maturity scores (Δ = 0.00), indicating that organizational context had little influence on maturity assessments conducted under this framework.</w:t>
      </w:r>
    </w:p>
    <w:p w14:paraId="58FAD017" w14:textId="77777777" w:rsidR="00353FBA" w:rsidRPr="00353FBA" w:rsidRDefault="00353FBA" w:rsidP="00353FBA">
      <w:pPr>
        <w:rPr>
          <w:rFonts w:ascii="Times New Roman" w:hAnsi="Times New Roman" w:cs="Times New Roman"/>
        </w:rPr>
      </w:pPr>
    </w:p>
    <w:p w14:paraId="19EB5689" w14:textId="77777777" w:rsidR="00353FBA" w:rsidRPr="00353FBA" w:rsidRDefault="00353FBA" w:rsidP="00353FBA">
      <w:pPr>
        <w:spacing w:before="100" w:beforeAutospacing="1" w:after="100" w:afterAutospacing="1"/>
        <w:outlineLvl w:val="2"/>
        <w:rPr>
          <w:rFonts w:ascii="Times New Roman" w:eastAsia="Times New Roman" w:hAnsi="Times New Roman" w:cs="Times New Roman"/>
          <w:color w:val="000000"/>
          <w:kern w:val="0"/>
          <w14:ligatures w14:val="none"/>
        </w:rPr>
      </w:pPr>
      <w:r w:rsidRPr="00353FBA">
        <w:rPr>
          <w:rFonts w:ascii="Times New Roman" w:eastAsia="Times New Roman" w:hAnsi="Times New Roman" w:cs="Times New Roman"/>
          <w:color w:val="000000"/>
          <w:kern w:val="0"/>
          <w14:ligatures w14:val="none"/>
        </w:rPr>
        <w:t>Key Findings</w:t>
      </w:r>
    </w:p>
    <w:p w14:paraId="74639497" w14:textId="77777777" w:rsidR="00353FBA" w:rsidRPr="00353FBA" w:rsidRDefault="00353FBA" w:rsidP="00353FBA">
      <w:pPr>
        <w:numPr>
          <w:ilvl w:val="0"/>
          <w:numId w:val="25"/>
        </w:numPr>
        <w:spacing w:before="100" w:beforeAutospacing="1" w:after="100" w:afterAutospacing="1"/>
        <w:outlineLvl w:val="2"/>
        <w:rPr>
          <w:rFonts w:ascii="Times New Roman" w:eastAsia="Times New Roman" w:hAnsi="Times New Roman" w:cs="Times New Roman"/>
          <w:color w:val="000000"/>
          <w:kern w:val="0"/>
          <w14:ligatures w14:val="none"/>
        </w:rPr>
      </w:pPr>
      <w:r w:rsidRPr="00353FBA">
        <w:rPr>
          <w:rFonts w:ascii="Times New Roman" w:eastAsia="Times New Roman" w:hAnsi="Times New Roman" w:cs="Times New Roman"/>
          <w:color w:val="000000"/>
          <w:kern w:val="0"/>
          <w14:ligatures w14:val="none"/>
        </w:rPr>
        <w:t>The overall organizational difference across all evaluated cybersecurity frameworks was minimal (Δ = 0.02), indicating that the public- and private-sector organizations achieved highly comparable average cybersecurity maturity scores.</w:t>
      </w:r>
    </w:p>
    <w:p w14:paraId="2B48685B" w14:textId="77777777" w:rsidR="00353FBA" w:rsidRPr="00353FBA" w:rsidRDefault="00353FBA" w:rsidP="00353FBA">
      <w:pPr>
        <w:numPr>
          <w:ilvl w:val="0"/>
          <w:numId w:val="25"/>
        </w:numPr>
        <w:spacing w:before="100" w:beforeAutospacing="1" w:after="100" w:afterAutospacing="1"/>
        <w:outlineLvl w:val="2"/>
        <w:rPr>
          <w:rFonts w:ascii="Times New Roman" w:eastAsia="Times New Roman" w:hAnsi="Times New Roman" w:cs="Times New Roman"/>
          <w:color w:val="000000"/>
          <w:kern w:val="0"/>
          <w14:ligatures w14:val="none"/>
        </w:rPr>
      </w:pPr>
      <w:r w:rsidRPr="00353FBA">
        <w:rPr>
          <w:rFonts w:ascii="Times New Roman" w:eastAsia="Times New Roman" w:hAnsi="Times New Roman" w:cs="Times New Roman"/>
          <w:color w:val="000000"/>
          <w:kern w:val="0"/>
          <w14:ligatures w14:val="none"/>
        </w:rPr>
        <w:t>Most cybersecurity frameworks demonstrated only minor organizational differences, suggesting that AI-assisted maturity assessments remained consistent across different organizational environments.</w:t>
      </w:r>
    </w:p>
    <w:p w14:paraId="13D83C82" w14:textId="77777777" w:rsidR="00353FBA" w:rsidRPr="00353FBA" w:rsidRDefault="00353FBA" w:rsidP="00353FBA">
      <w:pPr>
        <w:numPr>
          <w:ilvl w:val="0"/>
          <w:numId w:val="25"/>
        </w:numPr>
        <w:spacing w:before="100" w:beforeAutospacing="1" w:after="100" w:afterAutospacing="1"/>
        <w:outlineLvl w:val="2"/>
        <w:rPr>
          <w:rFonts w:ascii="Times New Roman" w:eastAsia="Times New Roman" w:hAnsi="Times New Roman" w:cs="Times New Roman"/>
          <w:color w:val="000000"/>
          <w:kern w:val="0"/>
          <w14:ligatures w14:val="none"/>
        </w:rPr>
      </w:pPr>
      <w:r w:rsidRPr="00353FBA">
        <w:rPr>
          <w:rFonts w:ascii="Times New Roman" w:eastAsia="Times New Roman" w:hAnsi="Times New Roman" w:cs="Times New Roman"/>
          <w:color w:val="000000"/>
          <w:kern w:val="0"/>
          <w14:ligatures w14:val="none"/>
        </w:rPr>
        <w:t>NIST SP 800-53 exhibited the largest organizational difference (Δ = 0.20), indicating that the public-sector policy documentation aligned more closely with the governance and security control requirements emphasized by the framework.</w:t>
      </w:r>
    </w:p>
    <w:p w14:paraId="69960BB5" w14:textId="77777777" w:rsidR="00353FBA" w:rsidRPr="00353FBA" w:rsidRDefault="00353FBA" w:rsidP="00353FBA">
      <w:pPr>
        <w:numPr>
          <w:ilvl w:val="0"/>
          <w:numId w:val="25"/>
        </w:numPr>
        <w:spacing w:before="100" w:beforeAutospacing="1" w:after="100" w:afterAutospacing="1"/>
        <w:outlineLvl w:val="2"/>
        <w:rPr>
          <w:rFonts w:ascii="Times New Roman" w:eastAsia="Times New Roman" w:hAnsi="Times New Roman" w:cs="Times New Roman"/>
          <w:color w:val="000000"/>
          <w:kern w:val="0"/>
          <w14:ligatures w14:val="none"/>
        </w:rPr>
      </w:pPr>
      <w:r w:rsidRPr="00353FBA">
        <w:rPr>
          <w:rFonts w:ascii="Times New Roman" w:eastAsia="Times New Roman" w:hAnsi="Times New Roman" w:cs="Times New Roman"/>
          <w:color w:val="000000"/>
          <w:kern w:val="0"/>
          <w14:ligatures w14:val="none"/>
        </w:rPr>
        <w:t>HIPAA also demonstrated a relatively large organizational difference (Δ = 0.17), suggesting greater sensitivity to differences in organizational implementation and policy documentation.</w:t>
      </w:r>
    </w:p>
    <w:p w14:paraId="3C4C1FB5" w14:textId="77777777" w:rsidR="00353FBA" w:rsidRPr="00353FBA" w:rsidRDefault="00353FBA" w:rsidP="00353FBA">
      <w:pPr>
        <w:numPr>
          <w:ilvl w:val="0"/>
          <w:numId w:val="25"/>
        </w:numPr>
        <w:spacing w:before="100" w:beforeAutospacing="1" w:after="100" w:afterAutospacing="1"/>
        <w:outlineLvl w:val="2"/>
        <w:rPr>
          <w:rFonts w:ascii="Times New Roman" w:eastAsia="Times New Roman" w:hAnsi="Times New Roman" w:cs="Times New Roman"/>
          <w:color w:val="000000"/>
          <w:kern w:val="0"/>
          <w14:ligatures w14:val="none"/>
        </w:rPr>
      </w:pPr>
      <w:r w:rsidRPr="00353FBA">
        <w:rPr>
          <w:rFonts w:ascii="Times New Roman" w:eastAsia="Times New Roman" w:hAnsi="Times New Roman" w:cs="Times New Roman"/>
          <w:color w:val="000000"/>
          <w:kern w:val="0"/>
          <w14:ligatures w14:val="none"/>
        </w:rPr>
        <w:t>ISO/IEC 27001 produced identical average maturity assessments across both organizations, indicating that organizational context had minimal influence on framework evaluation.</w:t>
      </w:r>
    </w:p>
    <w:p w14:paraId="0D36C3A2" w14:textId="77777777" w:rsidR="008E207C" w:rsidRPr="00353FBA" w:rsidRDefault="008E207C" w:rsidP="006751DB">
      <w:pPr>
        <w:spacing w:before="100" w:beforeAutospacing="1" w:after="100" w:afterAutospacing="1"/>
        <w:outlineLvl w:val="2"/>
        <w:rPr>
          <w:rFonts w:ascii="Times New Roman" w:eastAsia="Times New Roman" w:hAnsi="Times New Roman" w:cs="Times New Roman"/>
          <w:color w:val="000000"/>
          <w:kern w:val="0"/>
          <w14:ligatures w14:val="none"/>
        </w:rPr>
      </w:pPr>
    </w:p>
    <w:p w14:paraId="2D8B7A74" w14:textId="77777777" w:rsidR="00353FBA" w:rsidRPr="00353FBA" w:rsidRDefault="00353FBA" w:rsidP="00353FBA">
      <w:pPr>
        <w:rPr>
          <w:rFonts w:ascii="Times New Roman" w:hAnsi="Times New Roman" w:cs="Times New Roman"/>
        </w:rPr>
      </w:pPr>
      <w:r w:rsidRPr="00353FBA">
        <w:rPr>
          <w:rFonts w:ascii="Times New Roman" w:hAnsi="Times New Roman" w:cs="Times New Roman"/>
        </w:rPr>
        <w:t>Organizational Context Differences</w:t>
      </w:r>
    </w:p>
    <w:p w14:paraId="671C52C5" w14:textId="77777777" w:rsidR="00353FBA" w:rsidRPr="00353FBA" w:rsidRDefault="00353FBA" w:rsidP="00353FBA">
      <w:pPr>
        <w:rPr>
          <w:rFonts w:ascii="Times New Roman" w:hAnsi="Times New Roman" w:cs="Times New Roman"/>
          <w:b/>
          <w:bCs/>
        </w:rPr>
      </w:pPr>
    </w:p>
    <w:p w14:paraId="5AE56F8F" w14:textId="02C90C3B" w:rsidR="00353FBA" w:rsidRPr="00353FBA" w:rsidRDefault="00353FBA" w:rsidP="00353FBA">
      <w:pPr>
        <w:rPr>
          <w:rFonts w:ascii="Times New Roman" w:hAnsi="Times New Roman" w:cs="Times New Roman"/>
          <w:b/>
          <w:bCs/>
        </w:rPr>
      </w:pPr>
      <w:r w:rsidRPr="00353FBA">
        <w:rPr>
          <w:rFonts w:ascii="Times New Roman" w:hAnsi="Times New Roman" w:cs="Times New Roman"/>
          <w:b/>
          <w:bCs/>
        </w:rPr>
        <w:lastRenderedPageBreak/>
        <w:t>Department of Education (Public Sector)</w:t>
      </w:r>
    </w:p>
    <w:p w14:paraId="2EF59C5D" w14:textId="626CCB88" w:rsidR="00353FBA" w:rsidRPr="00353FBA" w:rsidRDefault="00353FBA" w:rsidP="00353FBA">
      <w:pPr>
        <w:numPr>
          <w:ilvl w:val="0"/>
          <w:numId w:val="26"/>
        </w:numPr>
        <w:rPr>
          <w:rFonts w:ascii="Times New Roman" w:hAnsi="Times New Roman" w:cs="Times New Roman"/>
        </w:rPr>
      </w:pPr>
      <w:r w:rsidRPr="00353FBA">
        <w:rPr>
          <w:rFonts w:ascii="Times New Roman" w:hAnsi="Times New Roman" w:cs="Times New Roman"/>
        </w:rPr>
        <w:t>Operates within a regulatory and compliance-driven environment.</w:t>
      </w:r>
    </w:p>
    <w:p w14:paraId="1F7C6657" w14:textId="77777777" w:rsidR="00353FBA" w:rsidRPr="00353FBA" w:rsidRDefault="00353FBA" w:rsidP="00353FBA">
      <w:pPr>
        <w:numPr>
          <w:ilvl w:val="0"/>
          <w:numId w:val="26"/>
        </w:numPr>
        <w:rPr>
          <w:rFonts w:ascii="Times New Roman" w:hAnsi="Times New Roman" w:cs="Times New Roman"/>
        </w:rPr>
      </w:pPr>
      <w:r w:rsidRPr="00353FBA">
        <w:rPr>
          <w:rFonts w:ascii="Times New Roman" w:hAnsi="Times New Roman" w:cs="Times New Roman"/>
        </w:rPr>
        <w:t>Policies emphasize governance, accountability, and standardized security management.</w:t>
      </w:r>
    </w:p>
    <w:p w14:paraId="026EE72F" w14:textId="77777777" w:rsidR="00353FBA" w:rsidRPr="00353FBA" w:rsidRDefault="00353FBA" w:rsidP="00353FBA">
      <w:pPr>
        <w:numPr>
          <w:ilvl w:val="0"/>
          <w:numId w:val="26"/>
        </w:numPr>
        <w:rPr>
          <w:rFonts w:ascii="Times New Roman" w:hAnsi="Times New Roman" w:cs="Times New Roman"/>
        </w:rPr>
      </w:pPr>
      <w:r w:rsidRPr="00353FBA">
        <w:rPr>
          <w:rFonts w:ascii="Times New Roman" w:hAnsi="Times New Roman" w:cs="Times New Roman"/>
        </w:rPr>
        <w:t>Documentation is structured to satisfy statutory and federal regulatory requirements.</w:t>
      </w:r>
    </w:p>
    <w:p w14:paraId="73A7A5CD" w14:textId="77777777" w:rsidR="00353FBA" w:rsidRPr="00353FBA" w:rsidRDefault="00353FBA" w:rsidP="00353FBA">
      <w:pPr>
        <w:rPr>
          <w:rFonts w:ascii="Times New Roman" w:hAnsi="Times New Roman" w:cs="Times New Roman"/>
          <w:b/>
          <w:bCs/>
        </w:rPr>
      </w:pPr>
      <w:r w:rsidRPr="00353FBA">
        <w:rPr>
          <w:rFonts w:ascii="Times New Roman" w:hAnsi="Times New Roman" w:cs="Times New Roman"/>
          <w:b/>
          <w:bCs/>
        </w:rPr>
        <w:t>Scott &amp; Scott WISP (Private Sector)</w:t>
      </w:r>
    </w:p>
    <w:p w14:paraId="01909E5E" w14:textId="77777777" w:rsidR="00353FBA" w:rsidRPr="00353FBA" w:rsidRDefault="00353FBA" w:rsidP="00353FBA">
      <w:pPr>
        <w:numPr>
          <w:ilvl w:val="0"/>
          <w:numId w:val="27"/>
        </w:numPr>
        <w:rPr>
          <w:rFonts w:ascii="Times New Roman" w:hAnsi="Times New Roman" w:cs="Times New Roman"/>
        </w:rPr>
      </w:pPr>
      <w:r w:rsidRPr="00353FBA">
        <w:rPr>
          <w:rFonts w:ascii="Times New Roman" w:hAnsi="Times New Roman" w:cs="Times New Roman"/>
        </w:rPr>
        <w:t>Security program is primarily driven by organizational risk management and client requirements.</w:t>
      </w:r>
    </w:p>
    <w:p w14:paraId="24182DFA" w14:textId="77777777" w:rsidR="00353FBA" w:rsidRPr="00353FBA" w:rsidRDefault="00353FBA" w:rsidP="00353FBA">
      <w:pPr>
        <w:numPr>
          <w:ilvl w:val="0"/>
          <w:numId w:val="27"/>
        </w:numPr>
        <w:rPr>
          <w:rFonts w:ascii="Times New Roman" w:hAnsi="Times New Roman" w:cs="Times New Roman"/>
        </w:rPr>
      </w:pPr>
      <w:r w:rsidRPr="00353FBA">
        <w:rPr>
          <w:rFonts w:ascii="Times New Roman" w:hAnsi="Times New Roman" w:cs="Times New Roman"/>
        </w:rPr>
        <w:t>Policies emphasize operational safeguards, business continuity, and practical implementation.</w:t>
      </w:r>
    </w:p>
    <w:p w14:paraId="4EA8A1A5" w14:textId="77777777" w:rsidR="00353FBA" w:rsidRPr="00353FBA" w:rsidRDefault="00353FBA" w:rsidP="00353FBA">
      <w:pPr>
        <w:numPr>
          <w:ilvl w:val="0"/>
          <w:numId w:val="27"/>
        </w:numPr>
        <w:rPr>
          <w:rFonts w:ascii="Times New Roman" w:hAnsi="Times New Roman" w:cs="Times New Roman"/>
        </w:rPr>
      </w:pPr>
      <w:r w:rsidRPr="00353FBA">
        <w:rPr>
          <w:rFonts w:ascii="Times New Roman" w:hAnsi="Times New Roman" w:cs="Times New Roman"/>
        </w:rPr>
        <w:t>Documentation focuses on organizational security practices rather than regulatory compliance.</w:t>
      </w:r>
    </w:p>
    <w:p w14:paraId="20844456" w14:textId="77777777" w:rsidR="006751DB" w:rsidRDefault="006751DB">
      <w:pPr>
        <w:rPr>
          <w:rFonts w:ascii="Times New Roman" w:hAnsi="Times New Roman" w:cs="Times New Roman"/>
        </w:rPr>
      </w:pPr>
    </w:p>
    <w:p w14:paraId="72AD9E1C" w14:textId="77777777" w:rsidR="00353FBA" w:rsidRPr="00353FBA" w:rsidRDefault="00353FBA" w:rsidP="00353FBA">
      <w:pPr>
        <w:rPr>
          <w:rFonts w:ascii="Times New Roman" w:hAnsi="Times New Roman" w:cs="Times New Roman"/>
        </w:rPr>
      </w:pPr>
      <w:r w:rsidRPr="00353FBA">
        <w:rPr>
          <w:rFonts w:ascii="Times New Roman" w:hAnsi="Times New Roman" w:cs="Times New Roman"/>
        </w:rPr>
        <w:t>Discussion</w:t>
      </w:r>
    </w:p>
    <w:p w14:paraId="518E80CF" w14:textId="77777777" w:rsidR="00353FBA" w:rsidRPr="00353FBA" w:rsidRDefault="00353FBA" w:rsidP="00353FBA">
      <w:pPr>
        <w:rPr>
          <w:rFonts w:ascii="Times New Roman" w:hAnsi="Times New Roman" w:cs="Times New Roman"/>
          <w:b/>
          <w:bCs/>
        </w:rPr>
      </w:pPr>
    </w:p>
    <w:p w14:paraId="099782A6" w14:textId="4F68D5C1" w:rsid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Prior to conducting the analysis, the research team expected organizational context to be a major factor influencing AI-assisted cybersecurity maturity assessments because the selected organizations operate in fundamentally different environments. Government organizations typically emphasize regulatory compliance and standardized governance, whereas private-sector organizations often prioritize operational risk management and business objectives.</w:t>
      </w:r>
    </w:p>
    <w:p w14:paraId="580F1A96" w14:textId="77777777" w:rsidR="00353FBA" w:rsidRPr="00353FBA" w:rsidRDefault="00353FBA" w:rsidP="00353FBA">
      <w:pPr>
        <w:rPr>
          <w:rFonts w:ascii="Times New Roman" w:hAnsi="Times New Roman" w:cs="Times New Roman"/>
        </w:rPr>
      </w:pPr>
    </w:p>
    <w:p w14:paraId="147BD221" w14:textId="1FF569B0" w:rsid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However, after aggregating the assessments produced by three independent language models, the overall organizational difference across all evaluated frameworks was only </w:t>
      </w:r>
      <w:r w:rsidRPr="00353FBA">
        <w:rPr>
          <w:rFonts w:ascii="Times New Roman" w:hAnsi="Times New Roman" w:cs="Times New Roman"/>
          <w:i/>
          <w:iCs/>
        </w:rPr>
        <w:t>“</w:t>
      </w:r>
      <w:r w:rsidRPr="00353FBA">
        <w:rPr>
          <w:rFonts w:ascii="Times New Roman" w:hAnsi="Times New Roman" w:cs="Times New Roman"/>
          <w:i/>
          <w:iCs/>
        </w:rPr>
        <w:t>Δ = 0.02</w:t>
      </w:r>
      <w:r w:rsidRPr="00353FBA">
        <w:rPr>
          <w:rFonts w:ascii="Times New Roman" w:hAnsi="Times New Roman" w:cs="Times New Roman"/>
          <w:i/>
          <w:iCs/>
        </w:rPr>
        <w:t>”</w:t>
      </w:r>
      <w:r w:rsidRPr="00353FBA">
        <w:rPr>
          <w:rFonts w:ascii="Times New Roman" w:hAnsi="Times New Roman" w:cs="Times New Roman"/>
        </w:rPr>
        <w:t xml:space="preserve">. Although individual frameworks such as NIST SP 800-53 and HIPAA exhibited greater sensitivity to organizational context, </w:t>
      </w:r>
      <w:r w:rsidRPr="00353FBA">
        <w:rPr>
          <w:rFonts w:ascii="Times New Roman" w:hAnsi="Times New Roman" w:cs="Times New Roman"/>
        </w:rPr>
        <w:t>most</w:t>
      </w:r>
      <w:r w:rsidRPr="00353FBA">
        <w:rPr>
          <w:rFonts w:ascii="Times New Roman" w:hAnsi="Times New Roman" w:cs="Times New Roman"/>
        </w:rPr>
        <w:t xml:space="preserve"> frameworks produced highly comparable maturity assessments for both organizations.</w:t>
      </w:r>
    </w:p>
    <w:p w14:paraId="401DE484" w14:textId="77777777" w:rsidR="00353FBA" w:rsidRPr="00353FBA" w:rsidRDefault="00353FBA" w:rsidP="00353FBA">
      <w:pPr>
        <w:rPr>
          <w:rFonts w:ascii="Times New Roman" w:hAnsi="Times New Roman" w:cs="Times New Roman"/>
        </w:rPr>
      </w:pPr>
    </w:p>
    <w:p w14:paraId="6D38FBD3" w14:textId="24E449F3" w:rsid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These findings suggest that, for the policy datasets evaluated in this study, organizational context had a smaller influence on overall cybersecurity maturity assessments than initially expected. This observation also demonstrates the value of aggregating assessments from multiple independent AI models, as the resulting maturity scores provide a more stable representation of documented cybersecurity maturity while reducing reliance on the scoring behavior of any single model.</w:t>
      </w:r>
    </w:p>
    <w:p w14:paraId="529DDF95" w14:textId="77777777" w:rsidR="00353FBA" w:rsidRDefault="00353FBA" w:rsidP="00353FBA">
      <w:pPr>
        <w:rPr>
          <w:rFonts w:ascii="Times New Roman" w:hAnsi="Times New Roman" w:cs="Times New Roman"/>
        </w:rPr>
      </w:pPr>
    </w:p>
    <w:p w14:paraId="7BFC4EBD" w14:textId="77777777" w:rsidR="00353FBA" w:rsidRPr="00353FBA" w:rsidRDefault="00353FBA" w:rsidP="00353FBA">
      <w:pPr>
        <w:rPr>
          <w:rFonts w:ascii="Times New Roman" w:hAnsi="Times New Roman" w:cs="Times New Roman"/>
        </w:rPr>
      </w:pPr>
    </w:p>
    <w:p w14:paraId="21599444" w14:textId="77777777" w:rsidR="00353FBA" w:rsidRDefault="00353FBA" w:rsidP="00353FBA">
      <w:pPr>
        <w:rPr>
          <w:rFonts w:ascii="Times New Roman" w:hAnsi="Times New Roman" w:cs="Times New Roman"/>
          <w:b/>
          <w:bCs/>
        </w:rPr>
      </w:pPr>
      <w:r w:rsidRPr="00353FBA">
        <w:rPr>
          <w:rFonts w:ascii="Times New Roman" w:hAnsi="Times New Roman" w:cs="Times New Roman"/>
          <w:b/>
          <w:bCs/>
        </w:rPr>
        <w:t>Limitations</w:t>
      </w:r>
    </w:p>
    <w:p w14:paraId="706BF394" w14:textId="77777777" w:rsidR="00353FBA" w:rsidRPr="00353FBA" w:rsidRDefault="00353FBA" w:rsidP="00353FBA">
      <w:pPr>
        <w:rPr>
          <w:rFonts w:ascii="Times New Roman" w:hAnsi="Times New Roman" w:cs="Times New Roman"/>
          <w:b/>
          <w:bCs/>
        </w:rPr>
      </w:pPr>
    </w:p>
    <w:p w14:paraId="0499BCF0" w14:textId="786C71F8" w:rsidR="00353FBA" w:rsidRP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This study has several limitations that should be considered when interpreting the findings.</w:t>
      </w:r>
    </w:p>
    <w:p w14:paraId="18F1FA90" w14:textId="307F08C7" w:rsid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 xml:space="preserve">First, the analysis was conducted using only two organizational policy datasets: the U.S. Department of Education and the Scott &amp; Scott Written Information Security Policy. Although these organizations represent distinct public- and private-sector environments, they may not be representative of their respective </w:t>
      </w:r>
      <w:r w:rsidRPr="00353FBA">
        <w:rPr>
          <w:rFonts w:ascii="Times New Roman" w:hAnsi="Times New Roman" w:cs="Times New Roman"/>
        </w:rPr>
        <w:t>sectors</w:t>
      </w:r>
      <w:r w:rsidRPr="00353FBA">
        <w:rPr>
          <w:rFonts w:ascii="Times New Roman" w:hAnsi="Times New Roman" w:cs="Times New Roman"/>
        </w:rPr>
        <w:t>. Consequently, the findings should be interpreted as an exploratory comparison rather than a definitive characterization of organizational differences.</w:t>
      </w:r>
    </w:p>
    <w:p w14:paraId="7840D2B7" w14:textId="77777777" w:rsidR="00353FBA" w:rsidRPr="00353FBA" w:rsidRDefault="00353FBA" w:rsidP="00353FBA">
      <w:pPr>
        <w:rPr>
          <w:rFonts w:ascii="Times New Roman" w:hAnsi="Times New Roman" w:cs="Times New Roman"/>
        </w:rPr>
      </w:pPr>
    </w:p>
    <w:p w14:paraId="162622B5" w14:textId="148082E7" w:rsidR="00353FBA" w:rsidRP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 xml:space="preserve">Second, while three independent language models were used to reduce model-specific bias, the maturity assessments represent a single execution of the AI-assisted assessment </w:t>
      </w:r>
      <w:r w:rsidRPr="00353FBA">
        <w:rPr>
          <w:rFonts w:ascii="Times New Roman" w:hAnsi="Times New Roman" w:cs="Times New Roman"/>
        </w:rPr>
        <w:lastRenderedPageBreak/>
        <w:t>methodology for each model. Different prompts, model versions, or future model updates may produce variations in the resulting maturity scores.</w:t>
      </w:r>
    </w:p>
    <w:p w14:paraId="500E3CAA" w14:textId="69E0A1A0" w:rsidR="00353FBA" w:rsidRP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 xml:space="preserve">Finally, although organizational context was initially expected to produce substantial differences in cybersecurity maturity assessments, the aggregated analysis demonstrated only a small overall organizational difference </w:t>
      </w:r>
      <w:r w:rsidRPr="00353FBA">
        <w:rPr>
          <w:rFonts w:ascii="Times New Roman" w:hAnsi="Times New Roman" w:cs="Times New Roman"/>
          <w:i/>
          <w:iCs/>
        </w:rPr>
        <w:t>(Δ = 0.02).</w:t>
      </w:r>
      <w:r w:rsidRPr="00353FBA">
        <w:rPr>
          <w:rFonts w:ascii="Times New Roman" w:hAnsi="Times New Roman" w:cs="Times New Roman"/>
        </w:rPr>
        <w:t xml:space="preserve"> While this finding suggests that organizational context had limited influence on the maturity assessments for the two organizations evaluated, it should not be interpreted as evidence that organizational context is generally unimportant. Future research should evaluate a larger and more diverse sample of public- and private-sector organizations to determine whether this observation remains consistent across different industries, organizational sizes, and regulatory environments.</w:t>
      </w:r>
    </w:p>
    <w:p w14:paraId="3865D11A" w14:textId="77777777" w:rsidR="00353FBA" w:rsidRDefault="00353FBA">
      <w:pPr>
        <w:rPr>
          <w:rFonts w:ascii="Times New Roman" w:hAnsi="Times New Roman" w:cs="Times New Roman"/>
        </w:rPr>
      </w:pPr>
    </w:p>
    <w:p w14:paraId="0A69F401" w14:textId="77777777" w:rsidR="00353FBA" w:rsidRDefault="00353FBA">
      <w:pPr>
        <w:rPr>
          <w:rFonts w:ascii="Times New Roman" w:hAnsi="Times New Roman" w:cs="Times New Roman"/>
        </w:rPr>
      </w:pPr>
    </w:p>
    <w:p w14:paraId="4D907154" w14:textId="77777777" w:rsidR="00353FBA" w:rsidRDefault="00353FBA" w:rsidP="00353FBA">
      <w:pPr>
        <w:rPr>
          <w:rFonts w:ascii="Times New Roman" w:hAnsi="Times New Roman" w:cs="Times New Roman"/>
        </w:rPr>
      </w:pPr>
      <w:r w:rsidRPr="00353FBA">
        <w:rPr>
          <w:rFonts w:ascii="Times New Roman" w:hAnsi="Times New Roman" w:cs="Times New Roman"/>
        </w:rPr>
        <w:t>Research Implications</w:t>
      </w:r>
    </w:p>
    <w:p w14:paraId="21EEF7D5" w14:textId="77777777" w:rsidR="00353FBA" w:rsidRPr="00353FBA" w:rsidRDefault="00353FBA" w:rsidP="00353FBA">
      <w:pPr>
        <w:rPr>
          <w:rFonts w:ascii="Times New Roman" w:hAnsi="Times New Roman" w:cs="Times New Roman"/>
        </w:rPr>
      </w:pPr>
    </w:p>
    <w:p w14:paraId="39589063" w14:textId="67A669F6" w:rsidR="00353FBA" w:rsidRP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The inclusion of three independent language models strengthened the reliability of the comparative analysis by reducing the influence of model-specific scoring behavior. Rather than relying on a single AI-generated assessment, aggregating the maturity scores produced a more representative estimate of each organization's documented cybersecurity maturity.</w:t>
      </w:r>
    </w:p>
    <w:p w14:paraId="15A7FCE2" w14:textId="739169AD" w:rsidR="00353FBA" w:rsidRPr="00353FBA" w:rsidRDefault="00353FBA" w:rsidP="00353FBA">
      <w:pPr>
        <w:rPr>
          <w:rFonts w:ascii="Times New Roman" w:hAnsi="Times New Roman" w:cs="Times New Roman"/>
        </w:rPr>
      </w:pPr>
      <w:r w:rsidRPr="00353FBA">
        <w:rPr>
          <w:rFonts w:ascii="Times New Roman" w:hAnsi="Times New Roman" w:cs="Times New Roman"/>
        </w:rPr>
        <w:t>The findings suggest that organizational context influences specific cybersecurity frameworks differently</w:t>
      </w:r>
      <w:r>
        <w:rPr>
          <w:rFonts w:ascii="Times New Roman" w:hAnsi="Times New Roman" w:cs="Times New Roman"/>
        </w:rPr>
        <w:t>. H</w:t>
      </w:r>
      <w:r w:rsidRPr="00353FBA">
        <w:rPr>
          <w:rFonts w:ascii="Times New Roman" w:hAnsi="Times New Roman" w:cs="Times New Roman"/>
        </w:rPr>
        <w:t>owever, the overall effect on maturity assessments remained limited for the organizations analyzed in this study. Future research involving a broader range of organizations is necessary to determine whether these findings generalize across different sectors and regulatory environments.</w:t>
      </w:r>
    </w:p>
    <w:p w14:paraId="491D75E2" w14:textId="77777777" w:rsidR="00353FBA" w:rsidRDefault="00353FBA">
      <w:pPr>
        <w:rPr>
          <w:rFonts w:ascii="Times New Roman" w:hAnsi="Times New Roman" w:cs="Times New Roman"/>
        </w:rPr>
      </w:pPr>
    </w:p>
    <w:p w14:paraId="2E3606BF" w14:textId="77777777" w:rsidR="00353FBA" w:rsidRDefault="00353FBA" w:rsidP="00353FBA">
      <w:pPr>
        <w:rPr>
          <w:rFonts w:ascii="Times New Roman" w:hAnsi="Times New Roman" w:cs="Times New Roman"/>
          <w:b/>
          <w:bCs/>
        </w:rPr>
      </w:pPr>
      <w:r w:rsidRPr="00353FBA">
        <w:rPr>
          <w:rFonts w:ascii="Times New Roman" w:hAnsi="Times New Roman" w:cs="Times New Roman"/>
          <w:b/>
          <w:bCs/>
        </w:rPr>
        <w:t>Conclusion</w:t>
      </w:r>
    </w:p>
    <w:p w14:paraId="53859C15" w14:textId="77777777" w:rsidR="00353FBA" w:rsidRPr="00353FBA" w:rsidRDefault="00353FBA" w:rsidP="00353FBA">
      <w:pPr>
        <w:rPr>
          <w:rFonts w:ascii="Times New Roman" w:hAnsi="Times New Roman" w:cs="Times New Roman"/>
          <w:b/>
          <w:bCs/>
        </w:rPr>
      </w:pPr>
    </w:p>
    <w:p w14:paraId="69ADAAD2" w14:textId="47C1A1F4" w:rsidR="00353FBA" w:rsidRP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The comparative analysis demonstrated that both organizations achieved similar cybersecurity maturity levels across the evaluated frameworks, with only minor differences attributable to organizational context. Although individual frameworks such as NIST SP 800-53 and HIPAA exhibited greater sensitivity to differences in policy documentation, the overall organizational difference remained small (Δ = 0.02).</w:t>
      </w:r>
    </w:p>
    <w:p w14:paraId="467F2789" w14:textId="6A6EDCB0" w:rsidR="00353FBA" w:rsidRP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Contrary to the research team's initial expectation that public- and private-sector environments would produce substantially different maturity assessments, the results indicate that the selected organizations exhibited highly comparable levels of documented cybersecurity maturity across most evaluated frameworks. Because this study examined only one representative organization from each sector, this observation should be considered exploratory rather than conclusive.</w:t>
      </w:r>
    </w:p>
    <w:p w14:paraId="171C862B" w14:textId="3A153DFB" w:rsidR="00353FBA" w:rsidRPr="00353FBA" w:rsidRDefault="00353FBA" w:rsidP="00353FBA">
      <w:pPr>
        <w:rPr>
          <w:rFonts w:ascii="Times New Roman" w:hAnsi="Times New Roman" w:cs="Times New Roman"/>
        </w:rPr>
      </w:pPr>
      <w:r>
        <w:rPr>
          <w:rFonts w:ascii="Times New Roman" w:hAnsi="Times New Roman" w:cs="Times New Roman"/>
        </w:rPr>
        <w:tab/>
      </w:r>
      <w:r w:rsidRPr="00353FBA">
        <w:rPr>
          <w:rFonts w:ascii="Times New Roman" w:hAnsi="Times New Roman" w:cs="Times New Roman"/>
        </w:rPr>
        <w:t>By incorporating three independent language models and aggregating their assessments, the revised methodology provides a more robust evaluation of organizational cybersecurity maturity while minimizing model-specific bias. These findings support the use of AI-assisted maturity assessments as a complementary decision-support tool for comparing cybersecurity programs across organizations, provided that the results are interpreted alongside organizational context, policy documentation, and the limitations of the available evidence.</w:t>
      </w:r>
    </w:p>
    <w:p w14:paraId="29D87F19" w14:textId="77777777" w:rsidR="00353FBA" w:rsidRPr="00353FBA" w:rsidRDefault="00353FBA">
      <w:pPr>
        <w:rPr>
          <w:rFonts w:ascii="Times New Roman" w:hAnsi="Times New Roman" w:cs="Times New Roman"/>
        </w:rPr>
      </w:pPr>
    </w:p>
    <w:sectPr w:rsidR="00353FBA" w:rsidRPr="00353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542"/>
    <w:multiLevelType w:val="multilevel"/>
    <w:tmpl w:val="C112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4DFB"/>
    <w:multiLevelType w:val="multilevel"/>
    <w:tmpl w:val="AA0A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CAA"/>
    <w:multiLevelType w:val="multilevel"/>
    <w:tmpl w:val="2B58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7D26"/>
    <w:multiLevelType w:val="hybridMultilevel"/>
    <w:tmpl w:val="887A1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9021C9"/>
    <w:multiLevelType w:val="multilevel"/>
    <w:tmpl w:val="AF9C6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70415"/>
    <w:multiLevelType w:val="multilevel"/>
    <w:tmpl w:val="A516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03582"/>
    <w:multiLevelType w:val="multilevel"/>
    <w:tmpl w:val="E59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14CF5"/>
    <w:multiLevelType w:val="multilevel"/>
    <w:tmpl w:val="4D788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C783E"/>
    <w:multiLevelType w:val="multilevel"/>
    <w:tmpl w:val="81B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8133C"/>
    <w:multiLevelType w:val="multilevel"/>
    <w:tmpl w:val="459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F2C76"/>
    <w:multiLevelType w:val="multilevel"/>
    <w:tmpl w:val="C26C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57E86"/>
    <w:multiLevelType w:val="multilevel"/>
    <w:tmpl w:val="756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67B9B"/>
    <w:multiLevelType w:val="multilevel"/>
    <w:tmpl w:val="75A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4571C"/>
    <w:multiLevelType w:val="multilevel"/>
    <w:tmpl w:val="4F3A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6010F"/>
    <w:multiLevelType w:val="multilevel"/>
    <w:tmpl w:val="7B8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E46BE"/>
    <w:multiLevelType w:val="multilevel"/>
    <w:tmpl w:val="411E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123FC"/>
    <w:multiLevelType w:val="multilevel"/>
    <w:tmpl w:val="54FA7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07B34"/>
    <w:multiLevelType w:val="multilevel"/>
    <w:tmpl w:val="B0F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E5E67"/>
    <w:multiLevelType w:val="multilevel"/>
    <w:tmpl w:val="BE4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D4249"/>
    <w:multiLevelType w:val="hybridMultilevel"/>
    <w:tmpl w:val="37E23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081FDB"/>
    <w:multiLevelType w:val="multilevel"/>
    <w:tmpl w:val="81D2E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14079"/>
    <w:multiLevelType w:val="multilevel"/>
    <w:tmpl w:val="49F84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C2AC0"/>
    <w:multiLevelType w:val="multilevel"/>
    <w:tmpl w:val="9E5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003A7"/>
    <w:multiLevelType w:val="multilevel"/>
    <w:tmpl w:val="967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E3AC4"/>
    <w:multiLevelType w:val="multilevel"/>
    <w:tmpl w:val="5D92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702A2"/>
    <w:multiLevelType w:val="multilevel"/>
    <w:tmpl w:val="69403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06B79"/>
    <w:multiLevelType w:val="multilevel"/>
    <w:tmpl w:val="B9160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971314">
    <w:abstractNumId w:val="10"/>
  </w:num>
  <w:num w:numId="2" w16cid:durableId="367075408">
    <w:abstractNumId w:val="9"/>
  </w:num>
  <w:num w:numId="3" w16cid:durableId="1144814037">
    <w:abstractNumId w:val="18"/>
  </w:num>
  <w:num w:numId="4" w16cid:durableId="534317922">
    <w:abstractNumId w:val="20"/>
  </w:num>
  <w:num w:numId="5" w16cid:durableId="1335303127">
    <w:abstractNumId w:val="5"/>
  </w:num>
  <w:num w:numId="6" w16cid:durableId="1266962959">
    <w:abstractNumId w:val="21"/>
  </w:num>
  <w:num w:numId="7" w16cid:durableId="1489057406">
    <w:abstractNumId w:val="4"/>
  </w:num>
  <w:num w:numId="8" w16cid:durableId="1083378281">
    <w:abstractNumId w:val="25"/>
  </w:num>
  <w:num w:numId="9" w16cid:durableId="559245103">
    <w:abstractNumId w:val="13"/>
  </w:num>
  <w:num w:numId="10" w16cid:durableId="1052920543">
    <w:abstractNumId w:val="26"/>
  </w:num>
  <w:num w:numId="11" w16cid:durableId="393353032">
    <w:abstractNumId w:val="7"/>
  </w:num>
  <w:num w:numId="12" w16cid:durableId="1243221726">
    <w:abstractNumId w:val="16"/>
  </w:num>
  <w:num w:numId="13" w16cid:durableId="419521186">
    <w:abstractNumId w:val="2"/>
  </w:num>
  <w:num w:numId="14" w16cid:durableId="422409809">
    <w:abstractNumId w:val="19"/>
  </w:num>
  <w:num w:numId="15" w16cid:durableId="470758259">
    <w:abstractNumId w:val="3"/>
  </w:num>
  <w:num w:numId="16" w16cid:durableId="326177911">
    <w:abstractNumId w:val="24"/>
  </w:num>
  <w:num w:numId="17" w16cid:durableId="2048875202">
    <w:abstractNumId w:val="6"/>
  </w:num>
  <w:num w:numId="18" w16cid:durableId="422998329">
    <w:abstractNumId w:val="14"/>
  </w:num>
  <w:num w:numId="19" w16cid:durableId="700592342">
    <w:abstractNumId w:val="23"/>
  </w:num>
  <w:num w:numId="20" w16cid:durableId="1076323627">
    <w:abstractNumId w:val="15"/>
  </w:num>
  <w:num w:numId="21" w16cid:durableId="1447122194">
    <w:abstractNumId w:val="12"/>
  </w:num>
  <w:num w:numId="22" w16cid:durableId="803815181">
    <w:abstractNumId w:val="8"/>
  </w:num>
  <w:num w:numId="23" w16cid:durableId="82380019">
    <w:abstractNumId w:val="0"/>
  </w:num>
  <w:num w:numId="24" w16cid:durableId="1186797262">
    <w:abstractNumId w:val="17"/>
  </w:num>
  <w:num w:numId="25" w16cid:durableId="474108382">
    <w:abstractNumId w:val="11"/>
  </w:num>
  <w:num w:numId="26" w16cid:durableId="358431517">
    <w:abstractNumId w:val="1"/>
  </w:num>
  <w:num w:numId="27" w16cid:durableId="1346859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B1"/>
    <w:rsid w:val="00032F51"/>
    <w:rsid w:val="00353FBA"/>
    <w:rsid w:val="003B7DE4"/>
    <w:rsid w:val="00483212"/>
    <w:rsid w:val="00483476"/>
    <w:rsid w:val="004D501A"/>
    <w:rsid w:val="006751DB"/>
    <w:rsid w:val="007F2002"/>
    <w:rsid w:val="008B6C24"/>
    <w:rsid w:val="008E207C"/>
    <w:rsid w:val="00990F3E"/>
    <w:rsid w:val="00A325B1"/>
    <w:rsid w:val="00AF6A99"/>
    <w:rsid w:val="00DC2357"/>
    <w:rsid w:val="00E25CF6"/>
    <w:rsid w:val="00ED7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AC53"/>
  <w15:chartTrackingRefBased/>
  <w15:docId w15:val="{4CF3059E-30ED-B545-8EA2-E06AE4ED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FB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32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25B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25B1"/>
    <w:rPr>
      <w:rFonts w:ascii="Times New Roman" w:eastAsia="Times New Roman" w:hAnsi="Times New Roman" w:cs="Times New Roman"/>
      <w:b/>
      <w:bCs/>
      <w:kern w:val="0"/>
      <w:sz w:val="27"/>
      <w:szCs w:val="27"/>
      <w14:ligatures w14:val="none"/>
    </w:rPr>
  </w:style>
  <w:style w:type="paragraph" w:customStyle="1" w:styleId="isselectedend">
    <w:name w:val="isselectedend"/>
    <w:basedOn w:val="Normal"/>
    <w:rsid w:val="00A325B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25B1"/>
    <w:rPr>
      <w:b/>
      <w:bCs/>
    </w:rPr>
  </w:style>
  <w:style w:type="character" w:customStyle="1" w:styleId="Heading2Char">
    <w:name w:val="Heading 2 Char"/>
    <w:basedOn w:val="DefaultParagraphFont"/>
    <w:link w:val="Heading2"/>
    <w:uiPriority w:val="9"/>
    <w:rsid w:val="0048321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83212"/>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83212"/>
    <w:rPr>
      <w:i/>
      <w:iCs/>
    </w:rPr>
  </w:style>
  <w:style w:type="paragraph" w:styleId="ListParagraph">
    <w:name w:val="List Paragraph"/>
    <w:basedOn w:val="Normal"/>
    <w:uiPriority w:val="34"/>
    <w:qFormat/>
    <w:rsid w:val="00483212"/>
    <w:pPr>
      <w:ind w:left="720"/>
      <w:contextualSpacing/>
    </w:pPr>
  </w:style>
  <w:style w:type="table" w:styleId="TableGrid">
    <w:name w:val="Table Grid"/>
    <w:basedOn w:val="TableNormal"/>
    <w:uiPriority w:val="39"/>
    <w:rsid w:val="008B6C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6751DB"/>
  </w:style>
  <w:style w:type="character" w:customStyle="1" w:styleId="mrel">
    <w:name w:val="mrel"/>
    <w:basedOn w:val="DefaultParagraphFont"/>
    <w:rsid w:val="006751DB"/>
  </w:style>
  <w:style w:type="character" w:customStyle="1" w:styleId="vlist-s">
    <w:name w:val="vlist-s"/>
    <w:basedOn w:val="DefaultParagraphFont"/>
    <w:rsid w:val="006751DB"/>
  </w:style>
  <w:style w:type="character" w:customStyle="1" w:styleId="mbin">
    <w:name w:val="mbin"/>
    <w:basedOn w:val="DefaultParagraphFont"/>
    <w:rsid w:val="006751DB"/>
  </w:style>
  <w:style w:type="character" w:customStyle="1" w:styleId="apple-converted-space">
    <w:name w:val="apple-converted-space"/>
    <w:basedOn w:val="DefaultParagraphFont"/>
    <w:rsid w:val="006751DB"/>
  </w:style>
  <w:style w:type="character" w:styleId="CommentReference">
    <w:name w:val="annotation reference"/>
    <w:basedOn w:val="DefaultParagraphFont"/>
    <w:uiPriority w:val="99"/>
    <w:semiHidden/>
    <w:unhideWhenUsed/>
    <w:rsid w:val="008E207C"/>
    <w:rPr>
      <w:sz w:val="16"/>
      <w:szCs w:val="16"/>
    </w:rPr>
  </w:style>
  <w:style w:type="paragraph" w:styleId="CommentText">
    <w:name w:val="annotation text"/>
    <w:basedOn w:val="Normal"/>
    <w:link w:val="CommentTextChar"/>
    <w:uiPriority w:val="99"/>
    <w:semiHidden/>
    <w:unhideWhenUsed/>
    <w:rsid w:val="008E207C"/>
    <w:rPr>
      <w:sz w:val="20"/>
      <w:szCs w:val="20"/>
    </w:rPr>
  </w:style>
  <w:style w:type="character" w:customStyle="1" w:styleId="CommentTextChar">
    <w:name w:val="Comment Text Char"/>
    <w:basedOn w:val="DefaultParagraphFont"/>
    <w:link w:val="CommentText"/>
    <w:uiPriority w:val="99"/>
    <w:semiHidden/>
    <w:rsid w:val="008E207C"/>
    <w:rPr>
      <w:sz w:val="20"/>
      <w:szCs w:val="20"/>
    </w:rPr>
  </w:style>
  <w:style w:type="paragraph" w:styleId="CommentSubject">
    <w:name w:val="annotation subject"/>
    <w:basedOn w:val="CommentText"/>
    <w:next w:val="CommentText"/>
    <w:link w:val="CommentSubjectChar"/>
    <w:uiPriority w:val="99"/>
    <w:semiHidden/>
    <w:unhideWhenUsed/>
    <w:rsid w:val="008E207C"/>
    <w:rPr>
      <w:b/>
      <w:bCs/>
    </w:rPr>
  </w:style>
  <w:style w:type="character" w:customStyle="1" w:styleId="CommentSubjectChar">
    <w:name w:val="Comment Subject Char"/>
    <w:basedOn w:val="CommentTextChar"/>
    <w:link w:val="CommentSubject"/>
    <w:uiPriority w:val="99"/>
    <w:semiHidden/>
    <w:rsid w:val="008E207C"/>
    <w:rPr>
      <w:b/>
      <w:bCs/>
      <w:sz w:val="20"/>
      <w:szCs w:val="20"/>
    </w:rPr>
  </w:style>
  <w:style w:type="paragraph" w:customStyle="1" w:styleId="pdq2pgselectionanchorcontainer">
    <w:name w:val="pdq2pg_selectionanchorcontainer"/>
    <w:basedOn w:val="Normal"/>
    <w:rsid w:val="008E207C"/>
    <w:pPr>
      <w:spacing w:before="100" w:beforeAutospacing="1" w:after="100" w:afterAutospacing="1"/>
    </w:pPr>
    <w:rPr>
      <w:rFonts w:ascii="Times New Roman" w:eastAsia="Times New Roman" w:hAnsi="Times New Roman" w:cs="Times New Roman"/>
      <w:kern w:val="0"/>
      <w14:ligatures w14:val="none"/>
    </w:rPr>
  </w:style>
  <w:style w:type="character" w:customStyle="1" w:styleId="katex-mathml">
    <w:name w:val="katex-mathml"/>
    <w:basedOn w:val="DefaultParagraphFont"/>
    <w:rsid w:val="008E207C"/>
  </w:style>
  <w:style w:type="character" w:customStyle="1" w:styleId="mpunct">
    <w:name w:val="mpunct"/>
    <w:basedOn w:val="DefaultParagraphFont"/>
    <w:rsid w:val="008E207C"/>
  </w:style>
  <w:style w:type="character" w:customStyle="1" w:styleId="mopen">
    <w:name w:val="mopen"/>
    <w:basedOn w:val="DefaultParagraphFont"/>
    <w:rsid w:val="008E207C"/>
  </w:style>
  <w:style w:type="character" w:customStyle="1" w:styleId="mclose">
    <w:name w:val="mclose"/>
    <w:basedOn w:val="DefaultParagraphFont"/>
    <w:rsid w:val="008E207C"/>
  </w:style>
  <w:style w:type="character" w:customStyle="1" w:styleId="mop">
    <w:name w:val="mop"/>
    <w:basedOn w:val="DefaultParagraphFont"/>
    <w:rsid w:val="008E207C"/>
  </w:style>
  <w:style w:type="character" w:customStyle="1" w:styleId="Heading1Char">
    <w:name w:val="Heading 1 Char"/>
    <w:basedOn w:val="DefaultParagraphFont"/>
    <w:link w:val="Heading1"/>
    <w:uiPriority w:val="9"/>
    <w:rsid w:val="00353FB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53FBA"/>
    <w:rPr>
      <w:color w:val="0563C1" w:themeColor="hyperlink"/>
      <w:u w:val="single"/>
    </w:rPr>
  </w:style>
  <w:style w:type="character" w:styleId="UnresolvedMention">
    <w:name w:val="Unresolved Mention"/>
    <w:basedOn w:val="DefaultParagraphFont"/>
    <w:uiPriority w:val="99"/>
    <w:semiHidden/>
    <w:unhideWhenUsed/>
    <w:rsid w:val="00353FBA"/>
    <w:rPr>
      <w:color w:val="605E5C"/>
      <w:shd w:val="clear" w:color="auto" w:fill="E1DFDD"/>
    </w:rPr>
  </w:style>
  <w:style w:type="character" w:styleId="FollowedHyperlink">
    <w:name w:val="FollowedHyperlink"/>
    <w:basedOn w:val="DefaultParagraphFont"/>
    <w:uiPriority w:val="99"/>
    <w:semiHidden/>
    <w:unhideWhenUsed/>
    <w:rsid w:val="00353F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4154">
      <w:bodyDiv w:val="1"/>
      <w:marLeft w:val="0"/>
      <w:marRight w:val="0"/>
      <w:marTop w:val="0"/>
      <w:marBottom w:val="0"/>
      <w:divBdr>
        <w:top w:val="none" w:sz="0" w:space="0" w:color="auto"/>
        <w:left w:val="none" w:sz="0" w:space="0" w:color="auto"/>
        <w:bottom w:val="none" w:sz="0" w:space="0" w:color="auto"/>
        <w:right w:val="none" w:sz="0" w:space="0" w:color="auto"/>
      </w:divBdr>
    </w:div>
    <w:div w:id="31346870">
      <w:bodyDiv w:val="1"/>
      <w:marLeft w:val="0"/>
      <w:marRight w:val="0"/>
      <w:marTop w:val="0"/>
      <w:marBottom w:val="0"/>
      <w:divBdr>
        <w:top w:val="none" w:sz="0" w:space="0" w:color="auto"/>
        <w:left w:val="none" w:sz="0" w:space="0" w:color="auto"/>
        <w:bottom w:val="none" w:sz="0" w:space="0" w:color="auto"/>
        <w:right w:val="none" w:sz="0" w:space="0" w:color="auto"/>
      </w:divBdr>
    </w:div>
    <w:div w:id="87240340">
      <w:bodyDiv w:val="1"/>
      <w:marLeft w:val="0"/>
      <w:marRight w:val="0"/>
      <w:marTop w:val="0"/>
      <w:marBottom w:val="0"/>
      <w:divBdr>
        <w:top w:val="none" w:sz="0" w:space="0" w:color="auto"/>
        <w:left w:val="none" w:sz="0" w:space="0" w:color="auto"/>
        <w:bottom w:val="none" w:sz="0" w:space="0" w:color="auto"/>
        <w:right w:val="none" w:sz="0" w:space="0" w:color="auto"/>
      </w:divBdr>
    </w:div>
    <w:div w:id="143788417">
      <w:bodyDiv w:val="1"/>
      <w:marLeft w:val="0"/>
      <w:marRight w:val="0"/>
      <w:marTop w:val="0"/>
      <w:marBottom w:val="0"/>
      <w:divBdr>
        <w:top w:val="none" w:sz="0" w:space="0" w:color="auto"/>
        <w:left w:val="none" w:sz="0" w:space="0" w:color="auto"/>
        <w:bottom w:val="none" w:sz="0" w:space="0" w:color="auto"/>
        <w:right w:val="none" w:sz="0" w:space="0" w:color="auto"/>
      </w:divBdr>
    </w:div>
    <w:div w:id="153034205">
      <w:bodyDiv w:val="1"/>
      <w:marLeft w:val="0"/>
      <w:marRight w:val="0"/>
      <w:marTop w:val="0"/>
      <w:marBottom w:val="0"/>
      <w:divBdr>
        <w:top w:val="none" w:sz="0" w:space="0" w:color="auto"/>
        <w:left w:val="none" w:sz="0" w:space="0" w:color="auto"/>
        <w:bottom w:val="none" w:sz="0" w:space="0" w:color="auto"/>
        <w:right w:val="none" w:sz="0" w:space="0" w:color="auto"/>
      </w:divBdr>
    </w:div>
    <w:div w:id="232012169">
      <w:bodyDiv w:val="1"/>
      <w:marLeft w:val="0"/>
      <w:marRight w:val="0"/>
      <w:marTop w:val="0"/>
      <w:marBottom w:val="0"/>
      <w:divBdr>
        <w:top w:val="none" w:sz="0" w:space="0" w:color="auto"/>
        <w:left w:val="none" w:sz="0" w:space="0" w:color="auto"/>
        <w:bottom w:val="none" w:sz="0" w:space="0" w:color="auto"/>
        <w:right w:val="none" w:sz="0" w:space="0" w:color="auto"/>
      </w:divBdr>
    </w:div>
    <w:div w:id="260575598">
      <w:bodyDiv w:val="1"/>
      <w:marLeft w:val="0"/>
      <w:marRight w:val="0"/>
      <w:marTop w:val="0"/>
      <w:marBottom w:val="0"/>
      <w:divBdr>
        <w:top w:val="none" w:sz="0" w:space="0" w:color="auto"/>
        <w:left w:val="none" w:sz="0" w:space="0" w:color="auto"/>
        <w:bottom w:val="none" w:sz="0" w:space="0" w:color="auto"/>
        <w:right w:val="none" w:sz="0" w:space="0" w:color="auto"/>
      </w:divBdr>
    </w:div>
    <w:div w:id="290408946">
      <w:bodyDiv w:val="1"/>
      <w:marLeft w:val="0"/>
      <w:marRight w:val="0"/>
      <w:marTop w:val="0"/>
      <w:marBottom w:val="0"/>
      <w:divBdr>
        <w:top w:val="none" w:sz="0" w:space="0" w:color="auto"/>
        <w:left w:val="none" w:sz="0" w:space="0" w:color="auto"/>
        <w:bottom w:val="none" w:sz="0" w:space="0" w:color="auto"/>
        <w:right w:val="none" w:sz="0" w:space="0" w:color="auto"/>
      </w:divBdr>
    </w:div>
    <w:div w:id="313683729">
      <w:bodyDiv w:val="1"/>
      <w:marLeft w:val="0"/>
      <w:marRight w:val="0"/>
      <w:marTop w:val="0"/>
      <w:marBottom w:val="0"/>
      <w:divBdr>
        <w:top w:val="none" w:sz="0" w:space="0" w:color="auto"/>
        <w:left w:val="none" w:sz="0" w:space="0" w:color="auto"/>
        <w:bottom w:val="none" w:sz="0" w:space="0" w:color="auto"/>
        <w:right w:val="none" w:sz="0" w:space="0" w:color="auto"/>
      </w:divBdr>
    </w:div>
    <w:div w:id="381446701">
      <w:bodyDiv w:val="1"/>
      <w:marLeft w:val="0"/>
      <w:marRight w:val="0"/>
      <w:marTop w:val="0"/>
      <w:marBottom w:val="0"/>
      <w:divBdr>
        <w:top w:val="none" w:sz="0" w:space="0" w:color="auto"/>
        <w:left w:val="none" w:sz="0" w:space="0" w:color="auto"/>
        <w:bottom w:val="none" w:sz="0" w:space="0" w:color="auto"/>
        <w:right w:val="none" w:sz="0" w:space="0" w:color="auto"/>
      </w:divBdr>
    </w:div>
    <w:div w:id="394670009">
      <w:bodyDiv w:val="1"/>
      <w:marLeft w:val="0"/>
      <w:marRight w:val="0"/>
      <w:marTop w:val="0"/>
      <w:marBottom w:val="0"/>
      <w:divBdr>
        <w:top w:val="none" w:sz="0" w:space="0" w:color="auto"/>
        <w:left w:val="none" w:sz="0" w:space="0" w:color="auto"/>
        <w:bottom w:val="none" w:sz="0" w:space="0" w:color="auto"/>
        <w:right w:val="none" w:sz="0" w:space="0" w:color="auto"/>
      </w:divBdr>
    </w:div>
    <w:div w:id="436563135">
      <w:bodyDiv w:val="1"/>
      <w:marLeft w:val="0"/>
      <w:marRight w:val="0"/>
      <w:marTop w:val="0"/>
      <w:marBottom w:val="0"/>
      <w:divBdr>
        <w:top w:val="none" w:sz="0" w:space="0" w:color="auto"/>
        <w:left w:val="none" w:sz="0" w:space="0" w:color="auto"/>
        <w:bottom w:val="none" w:sz="0" w:space="0" w:color="auto"/>
        <w:right w:val="none" w:sz="0" w:space="0" w:color="auto"/>
      </w:divBdr>
    </w:div>
    <w:div w:id="507408287">
      <w:bodyDiv w:val="1"/>
      <w:marLeft w:val="0"/>
      <w:marRight w:val="0"/>
      <w:marTop w:val="0"/>
      <w:marBottom w:val="0"/>
      <w:divBdr>
        <w:top w:val="none" w:sz="0" w:space="0" w:color="auto"/>
        <w:left w:val="none" w:sz="0" w:space="0" w:color="auto"/>
        <w:bottom w:val="none" w:sz="0" w:space="0" w:color="auto"/>
        <w:right w:val="none" w:sz="0" w:space="0" w:color="auto"/>
      </w:divBdr>
    </w:div>
    <w:div w:id="519780598">
      <w:bodyDiv w:val="1"/>
      <w:marLeft w:val="0"/>
      <w:marRight w:val="0"/>
      <w:marTop w:val="0"/>
      <w:marBottom w:val="0"/>
      <w:divBdr>
        <w:top w:val="none" w:sz="0" w:space="0" w:color="auto"/>
        <w:left w:val="none" w:sz="0" w:space="0" w:color="auto"/>
        <w:bottom w:val="none" w:sz="0" w:space="0" w:color="auto"/>
        <w:right w:val="none" w:sz="0" w:space="0" w:color="auto"/>
      </w:divBdr>
    </w:div>
    <w:div w:id="522062261">
      <w:bodyDiv w:val="1"/>
      <w:marLeft w:val="0"/>
      <w:marRight w:val="0"/>
      <w:marTop w:val="0"/>
      <w:marBottom w:val="0"/>
      <w:divBdr>
        <w:top w:val="none" w:sz="0" w:space="0" w:color="auto"/>
        <w:left w:val="none" w:sz="0" w:space="0" w:color="auto"/>
        <w:bottom w:val="none" w:sz="0" w:space="0" w:color="auto"/>
        <w:right w:val="none" w:sz="0" w:space="0" w:color="auto"/>
      </w:divBdr>
    </w:div>
    <w:div w:id="577518212">
      <w:bodyDiv w:val="1"/>
      <w:marLeft w:val="0"/>
      <w:marRight w:val="0"/>
      <w:marTop w:val="0"/>
      <w:marBottom w:val="0"/>
      <w:divBdr>
        <w:top w:val="none" w:sz="0" w:space="0" w:color="auto"/>
        <w:left w:val="none" w:sz="0" w:space="0" w:color="auto"/>
        <w:bottom w:val="none" w:sz="0" w:space="0" w:color="auto"/>
        <w:right w:val="none" w:sz="0" w:space="0" w:color="auto"/>
      </w:divBdr>
    </w:div>
    <w:div w:id="596056496">
      <w:bodyDiv w:val="1"/>
      <w:marLeft w:val="0"/>
      <w:marRight w:val="0"/>
      <w:marTop w:val="0"/>
      <w:marBottom w:val="0"/>
      <w:divBdr>
        <w:top w:val="none" w:sz="0" w:space="0" w:color="auto"/>
        <w:left w:val="none" w:sz="0" w:space="0" w:color="auto"/>
        <w:bottom w:val="none" w:sz="0" w:space="0" w:color="auto"/>
        <w:right w:val="none" w:sz="0" w:space="0" w:color="auto"/>
      </w:divBdr>
    </w:div>
    <w:div w:id="735009606">
      <w:bodyDiv w:val="1"/>
      <w:marLeft w:val="0"/>
      <w:marRight w:val="0"/>
      <w:marTop w:val="0"/>
      <w:marBottom w:val="0"/>
      <w:divBdr>
        <w:top w:val="none" w:sz="0" w:space="0" w:color="auto"/>
        <w:left w:val="none" w:sz="0" w:space="0" w:color="auto"/>
        <w:bottom w:val="none" w:sz="0" w:space="0" w:color="auto"/>
        <w:right w:val="none" w:sz="0" w:space="0" w:color="auto"/>
      </w:divBdr>
    </w:div>
    <w:div w:id="743379489">
      <w:bodyDiv w:val="1"/>
      <w:marLeft w:val="0"/>
      <w:marRight w:val="0"/>
      <w:marTop w:val="0"/>
      <w:marBottom w:val="0"/>
      <w:divBdr>
        <w:top w:val="none" w:sz="0" w:space="0" w:color="auto"/>
        <w:left w:val="none" w:sz="0" w:space="0" w:color="auto"/>
        <w:bottom w:val="none" w:sz="0" w:space="0" w:color="auto"/>
        <w:right w:val="none" w:sz="0" w:space="0" w:color="auto"/>
      </w:divBdr>
    </w:div>
    <w:div w:id="770978228">
      <w:bodyDiv w:val="1"/>
      <w:marLeft w:val="0"/>
      <w:marRight w:val="0"/>
      <w:marTop w:val="0"/>
      <w:marBottom w:val="0"/>
      <w:divBdr>
        <w:top w:val="none" w:sz="0" w:space="0" w:color="auto"/>
        <w:left w:val="none" w:sz="0" w:space="0" w:color="auto"/>
        <w:bottom w:val="none" w:sz="0" w:space="0" w:color="auto"/>
        <w:right w:val="none" w:sz="0" w:space="0" w:color="auto"/>
      </w:divBdr>
    </w:div>
    <w:div w:id="884951417">
      <w:bodyDiv w:val="1"/>
      <w:marLeft w:val="0"/>
      <w:marRight w:val="0"/>
      <w:marTop w:val="0"/>
      <w:marBottom w:val="0"/>
      <w:divBdr>
        <w:top w:val="none" w:sz="0" w:space="0" w:color="auto"/>
        <w:left w:val="none" w:sz="0" w:space="0" w:color="auto"/>
        <w:bottom w:val="none" w:sz="0" w:space="0" w:color="auto"/>
        <w:right w:val="none" w:sz="0" w:space="0" w:color="auto"/>
      </w:divBdr>
    </w:div>
    <w:div w:id="888146618">
      <w:bodyDiv w:val="1"/>
      <w:marLeft w:val="0"/>
      <w:marRight w:val="0"/>
      <w:marTop w:val="0"/>
      <w:marBottom w:val="0"/>
      <w:divBdr>
        <w:top w:val="none" w:sz="0" w:space="0" w:color="auto"/>
        <w:left w:val="none" w:sz="0" w:space="0" w:color="auto"/>
        <w:bottom w:val="none" w:sz="0" w:space="0" w:color="auto"/>
        <w:right w:val="none" w:sz="0" w:space="0" w:color="auto"/>
      </w:divBdr>
    </w:div>
    <w:div w:id="894972824">
      <w:bodyDiv w:val="1"/>
      <w:marLeft w:val="0"/>
      <w:marRight w:val="0"/>
      <w:marTop w:val="0"/>
      <w:marBottom w:val="0"/>
      <w:divBdr>
        <w:top w:val="none" w:sz="0" w:space="0" w:color="auto"/>
        <w:left w:val="none" w:sz="0" w:space="0" w:color="auto"/>
        <w:bottom w:val="none" w:sz="0" w:space="0" w:color="auto"/>
        <w:right w:val="none" w:sz="0" w:space="0" w:color="auto"/>
      </w:divBdr>
    </w:div>
    <w:div w:id="899052902">
      <w:bodyDiv w:val="1"/>
      <w:marLeft w:val="0"/>
      <w:marRight w:val="0"/>
      <w:marTop w:val="0"/>
      <w:marBottom w:val="0"/>
      <w:divBdr>
        <w:top w:val="none" w:sz="0" w:space="0" w:color="auto"/>
        <w:left w:val="none" w:sz="0" w:space="0" w:color="auto"/>
        <w:bottom w:val="none" w:sz="0" w:space="0" w:color="auto"/>
        <w:right w:val="none" w:sz="0" w:space="0" w:color="auto"/>
      </w:divBdr>
    </w:div>
    <w:div w:id="910237821">
      <w:bodyDiv w:val="1"/>
      <w:marLeft w:val="0"/>
      <w:marRight w:val="0"/>
      <w:marTop w:val="0"/>
      <w:marBottom w:val="0"/>
      <w:divBdr>
        <w:top w:val="none" w:sz="0" w:space="0" w:color="auto"/>
        <w:left w:val="none" w:sz="0" w:space="0" w:color="auto"/>
        <w:bottom w:val="none" w:sz="0" w:space="0" w:color="auto"/>
        <w:right w:val="none" w:sz="0" w:space="0" w:color="auto"/>
      </w:divBdr>
    </w:div>
    <w:div w:id="938100051">
      <w:bodyDiv w:val="1"/>
      <w:marLeft w:val="0"/>
      <w:marRight w:val="0"/>
      <w:marTop w:val="0"/>
      <w:marBottom w:val="0"/>
      <w:divBdr>
        <w:top w:val="none" w:sz="0" w:space="0" w:color="auto"/>
        <w:left w:val="none" w:sz="0" w:space="0" w:color="auto"/>
        <w:bottom w:val="none" w:sz="0" w:space="0" w:color="auto"/>
        <w:right w:val="none" w:sz="0" w:space="0" w:color="auto"/>
      </w:divBdr>
    </w:div>
    <w:div w:id="956521390">
      <w:bodyDiv w:val="1"/>
      <w:marLeft w:val="0"/>
      <w:marRight w:val="0"/>
      <w:marTop w:val="0"/>
      <w:marBottom w:val="0"/>
      <w:divBdr>
        <w:top w:val="none" w:sz="0" w:space="0" w:color="auto"/>
        <w:left w:val="none" w:sz="0" w:space="0" w:color="auto"/>
        <w:bottom w:val="none" w:sz="0" w:space="0" w:color="auto"/>
        <w:right w:val="none" w:sz="0" w:space="0" w:color="auto"/>
      </w:divBdr>
    </w:div>
    <w:div w:id="958218152">
      <w:bodyDiv w:val="1"/>
      <w:marLeft w:val="0"/>
      <w:marRight w:val="0"/>
      <w:marTop w:val="0"/>
      <w:marBottom w:val="0"/>
      <w:divBdr>
        <w:top w:val="none" w:sz="0" w:space="0" w:color="auto"/>
        <w:left w:val="none" w:sz="0" w:space="0" w:color="auto"/>
        <w:bottom w:val="none" w:sz="0" w:space="0" w:color="auto"/>
        <w:right w:val="none" w:sz="0" w:space="0" w:color="auto"/>
      </w:divBdr>
    </w:div>
    <w:div w:id="958530927">
      <w:bodyDiv w:val="1"/>
      <w:marLeft w:val="0"/>
      <w:marRight w:val="0"/>
      <w:marTop w:val="0"/>
      <w:marBottom w:val="0"/>
      <w:divBdr>
        <w:top w:val="none" w:sz="0" w:space="0" w:color="auto"/>
        <w:left w:val="none" w:sz="0" w:space="0" w:color="auto"/>
        <w:bottom w:val="none" w:sz="0" w:space="0" w:color="auto"/>
        <w:right w:val="none" w:sz="0" w:space="0" w:color="auto"/>
      </w:divBdr>
    </w:div>
    <w:div w:id="961686940">
      <w:bodyDiv w:val="1"/>
      <w:marLeft w:val="0"/>
      <w:marRight w:val="0"/>
      <w:marTop w:val="0"/>
      <w:marBottom w:val="0"/>
      <w:divBdr>
        <w:top w:val="none" w:sz="0" w:space="0" w:color="auto"/>
        <w:left w:val="none" w:sz="0" w:space="0" w:color="auto"/>
        <w:bottom w:val="none" w:sz="0" w:space="0" w:color="auto"/>
        <w:right w:val="none" w:sz="0" w:space="0" w:color="auto"/>
      </w:divBdr>
    </w:div>
    <w:div w:id="975792862">
      <w:bodyDiv w:val="1"/>
      <w:marLeft w:val="0"/>
      <w:marRight w:val="0"/>
      <w:marTop w:val="0"/>
      <w:marBottom w:val="0"/>
      <w:divBdr>
        <w:top w:val="none" w:sz="0" w:space="0" w:color="auto"/>
        <w:left w:val="none" w:sz="0" w:space="0" w:color="auto"/>
        <w:bottom w:val="none" w:sz="0" w:space="0" w:color="auto"/>
        <w:right w:val="none" w:sz="0" w:space="0" w:color="auto"/>
      </w:divBdr>
    </w:div>
    <w:div w:id="1028868986">
      <w:bodyDiv w:val="1"/>
      <w:marLeft w:val="0"/>
      <w:marRight w:val="0"/>
      <w:marTop w:val="0"/>
      <w:marBottom w:val="0"/>
      <w:divBdr>
        <w:top w:val="none" w:sz="0" w:space="0" w:color="auto"/>
        <w:left w:val="none" w:sz="0" w:space="0" w:color="auto"/>
        <w:bottom w:val="none" w:sz="0" w:space="0" w:color="auto"/>
        <w:right w:val="none" w:sz="0" w:space="0" w:color="auto"/>
      </w:divBdr>
    </w:div>
    <w:div w:id="1080372806">
      <w:bodyDiv w:val="1"/>
      <w:marLeft w:val="0"/>
      <w:marRight w:val="0"/>
      <w:marTop w:val="0"/>
      <w:marBottom w:val="0"/>
      <w:divBdr>
        <w:top w:val="none" w:sz="0" w:space="0" w:color="auto"/>
        <w:left w:val="none" w:sz="0" w:space="0" w:color="auto"/>
        <w:bottom w:val="none" w:sz="0" w:space="0" w:color="auto"/>
        <w:right w:val="none" w:sz="0" w:space="0" w:color="auto"/>
      </w:divBdr>
    </w:div>
    <w:div w:id="1135103028">
      <w:bodyDiv w:val="1"/>
      <w:marLeft w:val="0"/>
      <w:marRight w:val="0"/>
      <w:marTop w:val="0"/>
      <w:marBottom w:val="0"/>
      <w:divBdr>
        <w:top w:val="none" w:sz="0" w:space="0" w:color="auto"/>
        <w:left w:val="none" w:sz="0" w:space="0" w:color="auto"/>
        <w:bottom w:val="none" w:sz="0" w:space="0" w:color="auto"/>
        <w:right w:val="none" w:sz="0" w:space="0" w:color="auto"/>
      </w:divBdr>
    </w:div>
    <w:div w:id="1143619522">
      <w:bodyDiv w:val="1"/>
      <w:marLeft w:val="0"/>
      <w:marRight w:val="0"/>
      <w:marTop w:val="0"/>
      <w:marBottom w:val="0"/>
      <w:divBdr>
        <w:top w:val="none" w:sz="0" w:space="0" w:color="auto"/>
        <w:left w:val="none" w:sz="0" w:space="0" w:color="auto"/>
        <w:bottom w:val="none" w:sz="0" w:space="0" w:color="auto"/>
        <w:right w:val="none" w:sz="0" w:space="0" w:color="auto"/>
      </w:divBdr>
    </w:div>
    <w:div w:id="1183082941">
      <w:bodyDiv w:val="1"/>
      <w:marLeft w:val="0"/>
      <w:marRight w:val="0"/>
      <w:marTop w:val="0"/>
      <w:marBottom w:val="0"/>
      <w:divBdr>
        <w:top w:val="none" w:sz="0" w:space="0" w:color="auto"/>
        <w:left w:val="none" w:sz="0" w:space="0" w:color="auto"/>
        <w:bottom w:val="none" w:sz="0" w:space="0" w:color="auto"/>
        <w:right w:val="none" w:sz="0" w:space="0" w:color="auto"/>
      </w:divBdr>
    </w:div>
    <w:div w:id="1221482544">
      <w:bodyDiv w:val="1"/>
      <w:marLeft w:val="0"/>
      <w:marRight w:val="0"/>
      <w:marTop w:val="0"/>
      <w:marBottom w:val="0"/>
      <w:divBdr>
        <w:top w:val="none" w:sz="0" w:space="0" w:color="auto"/>
        <w:left w:val="none" w:sz="0" w:space="0" w:color="auto"/>
        <w:bottom w:val="none" w:sz="0" w:space="0" w:color="auto"/>
        <w:right w:val="none" w:sz="0" w:space="0" w:color="auto"/>
      </w:divBdr>
    </w:div>
    <w:div w:id="1250700915">
      <w:bodyDiv w:val="1"/>
      <w:marLeft w:val="0"/>
      <w:marRight w:val="0"/>
      <w:marTop w:val="0"/>
      <w:marBottom w:val="0"/>
      <w:divBdr>
        <w:top w:val="none" w:sz="0" w:space="0" w:color="auto"/>
        <w:left w:val="none" w:sz="0" w:space="0" w:color="auto"/>
        <w:bottom w:val="none" w:sz="0" w:space="0" w:color="auto"/>
        <w:right w:val="none" w:sz="0" w:space="0" w:color="auto"/>
      </w:divBdr>
    </w:div>
    <w:div w:id="1285693580">
      <w:bodyDiv w:val="1"/>
      <w:marLeft w:val="0"/>
      <w:marRight w:val="0"/>
      <w:marTop w:val="0"/>
      <w:marBottom w:val="0"/>
      <w:divBdr>
        <w:top w:val="none" w:sz="0" w:space="0" w:color="auto"/>
        <w:left w:val="none" w:sz="0" w:space="0" w:color="auto"/>
        <w:bottom w:val="none" w:sz="0" w:space="0" w:color="auto"/>
        <w:right w:val="none" w:sz="0" w:space="0" w:color="auto"/>
      </w:divBdr>
    </w:div>
    <w:div w:id="1303346057">
      <w:bodyDiv w:val="1"/>
      <w:marLeft w:val="0"/>
      <w:marRight w:val="0"/>
      <w:marTop w:val="0"/>
      <w:marBottom w:val="0"/>
      <w:divBdr>
        <w:top w:val="none" w:sz="0" w:space="0" w:color="auto"/>
        <w:left w:val="none" w:sz="0" w:space="0" w:color="auto"/>
        <w:bottom w:val="none" w:sz="0" w:space="0" w:color="auto"/>
        <w:right w:val="none" w:sz="0" w:space="0" w:color="auto"/>
      </w:divBdr>
    </w:div>
    <w:div w:id="1311323462">
      <w:bodyDiv w:val="1"/>
      <w:marLeft w:val="0"/>
      <w:marRight w:val="0"/>
      <w:marTop w:val="0"/>
      <w:marBottom w:val="0"/>
      <w:divBdr>
        <w:top w:val="none" w:sz="0" w:space="0" w:color="auto"/>
        <w:left w:val="none" w:sz="0" w:space="0" w:color="auto"/>
        <w:bottom w:val="none" w:sz="0" w:space="0" w:color="auto"/>
        <w:right w:val="none" w:sz="0" w:space="0" w:color="auto"/>
      </w:divBdr>
    </w:div>
    <w:div w:id="1318412410">
      <w:bodyDiv w:val="1"/>
      <w:marLeft w:val="0"/>
      <w:marRight w:val="0"/>
      <w:marTop w:val="0"/>
      <w:marBottom w:val="0"/>
      <w:divBdr>
        <w:top w:val="none" w:sz="0" w:space="0" w:color="auto"/>
        <w:left w:val="none" w:sz="0" w:space="0" w:color="auto"/>
        <w:bottom w:val="none" w:sz="0" w:space="0" w:color="auto"/>
        <w:right w:val="none" w:sz="0" w:space="0" w:color="auto"/>
      </w:divBdr>
    </w:div>
    <w:div w:id="1342388650">
      <w:bodyDiv w:val="1"/>
      <w:marLeft w:val="0"/>
      <w:marRight w:val="0"/>
      <w:marTop w:val="0"/>
      <w:marBottom w:val="0"/>
      <w:divBdr>
        <w:top w:val="none" w:sz="0" w:space="0" w:color="auto"/>
        <w:left w:val="none" w:sz="0" w:space="0" w:color="auto"/>
        <w:bottom w:val="none" w:sz="0" w:space="0" w:color="auto"/>
        <w:right w:val="none" w:sz="0" w:space="0" w:color="auto"/>
      </w:divBdr>
    </w:div>
    <w:div w:id="1354307316">
      <w:bodyDiv w:val="1"/>
      <w:marLeft w:val="0"/>
      <w:marRight w:val="0"/>
      <w:marTop w:val="0"/>
      <w:marBottom w:val="0"/>
      <w:divBdr>
        <w:top w:val="none" w:sz="0" w:space="0" w:color="auto"/>
        <w:left w:val="none" w:sz="0" w:space="0" w:color="auto"/>
        <w:bottom w:val="none" w:sz="0" w:space="0" w:color="auto"/>
        <w:right w:val="none" w:sz="0" w:space="0" w:color="auto"/>
      </w:divBdr>
    </w:div>
    <w:div w:id="1390225037">
      <w:bodyDiv w:val="1"/>
      <w:marLeft w:val="0"/>
      <w:marRight w:val="0"/>
      <w:marTop w:val="0"/>
      <w:marBottom w:val="0"/>
      <w:divBdr>
        <w:top w:val="none" w:sz="0" w:space="0" w:color="auto"/>
        <w:left w:val="none" w:sz="0" w:space="0" w:color="auto"/>
        <w:bottom w:val="none" w:sz="0" w:space="0" w:color="auto"/>
        <w:right w:val="none" w:sz="0" w:space="0" w:color="auto"/>
      </w:divBdr>
    </w:div>
    <w:div w:id="1406344217">
      <w:bodyDiv w:val="1"/>
      <w:marLeft w:val="0"/>
      <w:marRight w:val="0"/>
      <w:marTop w:val="0"/>
      <w:marBottom w:val="0"/>
      <w:divBdr>
        <w:top w:val="none" w:sz="0" w:space="0" w:color="auto"/>
        <w:left w:val="none" w:sz="0" w:space="0" w:color="auto"/>
        <w:bottom w:val="none" w:sz="0" w:space="0" w:color="auto"/>
        <w:right w:val="none" w:sz="0" w:space="0" w:color="auto"/>
      </w:divBdr>
    </w:div>
    <w:div w:id="1429740781">
      <w:bodyDiv w:val="1"/>
      <w:marLeft w:val="0"/>
      <w:marRight w:val="0"/>
      <w:marTop w:val="0"/>
      <w:marBottom w:val="0"/>
      <w:divBdr>
        <w:top w:val="none" w:sz="0" w:space="0" w:color="auto"/>
        <w:left w:val="none" w:sz="0" w:space="0" w:color="auto"/>
        <w:bottom w:val="none" w:sz="0" w:space="0" w:color="auto"/>
        <w:right w:val="none" w:sz="0" w:space="0" w:color="auto"/>
      </w:divBdr>
    </w:div>
    <w:div w:id="1469277960">
      <w:bodyDiv w:val="1"/>
      <w:marLeft w:val="0"/>
      <w:marRight w:val="0"/>
      <w:marTop w:val="0"/>
      <w:marBottom w:val="0"/>
      <w:divBdr>
        <w:top w:val="none" w:sz="0" w:space="0" w:color="auto"/>
        <w:left w:val="none" w:sz="0" w:space="0" w:color="auto"/>
        <w:bottom w:val="none" w:sz="0" w:space="0" w:color="auto"/>
        <w:right w:val="none" w:sz="0" w:space="0" w:color="auto"/>
      </w:divBdr>
    </w:div>
    <w:div w:id="1482045091">
      <w:bodyDiv w:val="1"/>
      <w:marLeft w:val="0"/>
      <w:marRight w:val="0"/>
      <w:marTop w:val="0"/>
      <w:marBottom w:val="0"/>
      <w:divBdr>
        <w:top w:val="none" w:sz="0" w:space="0" w:color="auto"/>
        <w:left w:val="none" w:sz="0" w:space="0" w:color="auto"/>
        <w:bottom w:val="none" w:sz="0" w:space="0" w:color="auto"/>
        <w:right w:val="none" w:sz="0" w:space="0" w:color="auto"/>
      </w:divBdr>
    </w:div>
    <w:div w:id="1495220105">
      <w:bodyDiv w:val="1"/>
      <w:marLeft w:val="0"/>
      <w:marRight w:val="0"/>
      <w:marTop w:val="0"/>
      <w:marBottom w:val="0"/>
      <w:divBdr>
        <w:top w:val="none" w:sz="0" w:space="0" w:color="auto"/>
        <w:left w:val="none" w:sz="0" w:space="0" w:color="auto"/>
        <w:bottom w:val="none" w:sz="0" w:space="0" w:color="auto"/>
        <w:right w:val="none" w:sz="0" w:space="0" w:color="auto"/>
      </w:divBdr>
    </w:div>
    <w:div w:id="1503352312">
      <w:bodyDiv w:val="1"/>
      <w:marLeft w:val="0"/>
      <w:marRight w:val="0"/>
      <w:marTop w:val="0"/>
      <w:marBottom w:val="0"/>
      <w:divBdr>
        <w:top w:val="none" w:sz="0" w:space="0" w:color="auto"/>
        <w:left w:val="none" w:sz="0" w:space="0" w:color="auto"/>
        <w:bottom w:val="none" w:sz="0" w:space="0" w:color="auto"/>
        <w:right w:val="none" w:sz="0" w:space="0" w:color="auto"/>
      </w:divBdr>
    </w:div>
    <w:div w:id="1544098912">
      <w:bodyDiv w:val="1"/>
      <w:marLeft w:val="0"/>
      <w:marRight w:val="0"/>
      <w:marTop w:val="0"/>
      <w:marBottom w:val="0"/>
      <w:divBdr>
        <w:top w:val="none" w:sz="0" w:space="0" w:color="auto"/>
        <w:left w:val="none" w:sz="0" w:space="0" w:color="auto"/>
        <w:bottom w:val="none" w:sz="0" w:space="0" w:color="auto"/>
        <w:right w:val="none" w:sz="0" w:space="0" w:color="auto"/>
      </w:divBdr>
    </w:div>
    <w:div w:id="1549874622">
      <w:bodyDiv w:val="1"/>
      <w:marLeft w:val="0"/>
      <w:marRight w:val="0"/>
      <w:marTop w:val="0"/>
      <w:marBottom w:val="0"/>
      <w:divBdr>
        <w:top w:val="none" w:sz="0" w:space="0" w:color="auto"/>
        <w:left w:val="none" w:sz="0" w:space="0" w:color="auto"/>
        <w:bottom w:val="none" w:sz="0" w:space="0" w:color="auto"/>
        <w:right w:val="none" w:sz="0" w:space="0" w:color="auto"/>
      </w:divBdr>
    </w:div>
    <w:div w:id="1556354623">
      <w:bodyDiv w:val="1"/>
      <w:marLeft w:val="0"/>
      <w:marRight w:val="0"/>
      <w:marTop w:val="0"/>
      <w:marBottom w:val="0"/>
      <w:divBdr>
        <w:top w:val="none" w:sz="0" w:space="0" w:color="auto"/>
        <w:left w:val="none" w:sz="0" w:space="0" w:color="auto"/>
        <w:bottom w:val="none" w:sz="0" w:space="0" w:color="auto"/>
        <w:right w:val="none" w:sz="0" w:space="0" w:color="auto"/>
      </w:divBdr>
    </w:div>
    <w:div w:id="1597863406">
      <w:bodyDiv w:val="1"/>
      <w:marLeft w:val="0"/>
      <w:marRight w:val="0"/>
      <w:marTop w:val="0"/>
      <w:marBottom w:val="0"/>
      <w:divBdr>
        <w:top w:val="none" w:sz="0" w:space="0" w:color="auto"/>
        <w:left w:val="none" w:sz="0" w:space="0" w:color="auto"/>
        <w:bottom w:val="none" w:sz="0" w:space="0" w:color="auto"/>
        <w:right w:val="none" w:sz="0" w:space="0" w:color="auto"/>
      </w:divBdr>
    </w:div>
    <w:div w:id="1604916017">
      <w:bodyDiv w:val="1"/>
      <w:marLeft w:val="0"/>
      <w:marRight w:val="0"/>
      <w:marTop w:val="0"/>
      <w:marBottom w:val="0"/>
      <w:divBdr>
        <w:top w:val="none" w:sz="0" w:space="0" w:color="auto"/>
        <w:left w:val="none" w:sz="0" w:space="0" w:color="auto"/>
        <w:bottom w:val="none" w:sz="0" w:space="0" w:color="auto"/>
        <w:right w:val="none" w:sz="0" w:space="0" w:color="auto"/>
      </w:divBdr>
    </w:div>
    <w:div w:id="1719165637">
      <w:bodyDiv w:val="1"/>
      <w:marLeft w:val="0"/>
      <w:marRight w:val="0"/>
      <w:marTop w:val="0"/>
      <w:marBottom w:val="0"/>
      <w:divBdr>
        <w:top w:val="none" w:sz="0" w:space="0" w:color="auto"/>
        <w:left w:val="none" w:sz="0" w:space="0" w:color="auto"/>
        <w:bottom w:val="none" w:sz="0" w:space="0" w:color="auto"/>
        <w:right w:val="none" w:sz="0" w:space="0" w:color="auto"/>
      </w:divBdr>
    </w:div>
    <w:div w:id="1781680124">
      <w:bodyDiv w:val="1"/>
      <w:marLeft w:val="0"/>
      <w:marRight w:val="0"/>
      <w:marTop w:val="0"/>
      <w:marBottom w:val="0"/>
      <w:divBdr>
        <w:top w:val="none" w:sz="0" w:space="0" w:color="auto"/>
        <w:left w:val="none" w:sz="0" w:space="0" w:color="auto"/>
        <w:bottom w:val="none" w:sz="0" w:space="0" w:color="auto"/>
        <w:right w:val="none" w:sz="0" w:space="0" w:color="auto"/>
      </w:divBdr>
    </w:div>
    <w:div w:id="1800341885">
      <w:bodyDiv w:val="1"/>
      <w:marLeft w:val="0"/>
      <w:marRight w:val="0"/>
      <w:marTop w:val="0"/>
      <w:marBottom w:val="0"/>
      <w:divBdr>
        <w:top w:val="none" w:sz="0" w:space="0" w:color="auto"/>
        <w:left w:val="none" w:sz="0" w:space="0" w:color="auto"/>
        <w:bottom w:val="none" w:sz="0" w:space="0" w:color="auto"/>
        <w:right w:val="none" w:sz="0" w:space="0" w:color="auto"/>
      </w:divBdr>
    </w:div>
    <w:div w:id="1843549566">
      <w:bodyDiv w:val="1"/>
      <w:marLeft w:val="0"/>
      <w:marRight w:val="0"/>
      <w:marTop w:val="0"/>
      <w:marBottom w:val="0"/>
      <w:divBdr>
        <w:top w:val="none" w:sz="0" w:space="0" w:color="auto"/>
        <w:left w:val="none" w:sz="0" w:space="0" w:color="auto"/>
        <w:bottom w:val="none" w:sz="0" w:space="0" w:color="auto"/>
        <w:right w:val="none" w:sz="0" w:space="0" w:color="auto"/>
      </w:divBdr>
    </w:div>
    <w:div w:id="1854492238">
      <w:bodyDiv w:val="1"/>
      <w:marLeft w:val="0"/>
      <w:marRight w:val="0"/>
      <w:marTop w:val="0"/>
      <w:marBottom w:val="0"/>
      <w:divBdr>
        <w:top w:val="none" w:sz="0" w:space="0" w:color="auto"/>
        <w:left w:val="none" w:sz="0" w:space="0" w:color="auto"/>
        <w:bottom w:val="none" w:sz="0" w:space="0" w:color="auto"/>
        <w:right w:val="none" w:sz="0" w:space="0" w:color="auto"/>
      </w:divBdr>
    </w:div>
    <w:div w:id="1920287364">
      <w:bodyDiv w:val="1"/>
      <w:marLeft w:val="0"/>
      <w:marRight w:val="0"/>
      <w:marTop w:val="0"/>
      <w:marBottom w:val="0"/>
      <w:divBdr>
        <w:top w:val="none" w:sz="0" w:space="0" w:color="auto"/>
        <w:left w:val="none" w:sz="0" w:space="0" w:color="auto"/>
        <w:bottom w:val="none" w:sz="0" w:space="0" w:color="auto"/>
        <w:right w:val="none" w:sz="0" w:space="0" w:color="auto"/>
      </w:divBdr>
    </w:div>
    <w:div w:id="1922368113">
      <w:bodyDiv w:val="1"/>
      <w:marLeft w:val="0"/>
      <w:marRight w:val="0"/>
      <w:marTop w:val="0"/>
      <w:marBottom w:val="0"/>
      <w:divBdr>
        <w:top w:val="none" w:sz="0" w:space="0" w:color="auto"/>
        <w:left w:val="none" w:sz="0" w:space="0" w:color="auto"/>
        <w:bottom w:val="none" w:sz="0" w:space="0" w:color="auto"/>
        <w:right w:val="none" w:sz="0" w:space="0" w:color="auto"/>
      </w:divBdr>
    </w:div>
    <w:div w:id="1948074940">
      <w:bodyDiv w:val="1"/>
      <w:marLeft w:val="0"/>
      <w:marRight w:val="0"/>
      <w:marTop w:val="0"/>
      <w:marBottom w:val="0"/>
      <w:divBdr>
        <w:top w:val="none" w:sz="0" w:space="0" w:color="auto"/>
        <w:left w:val="none" w:sz="0" w:space="0" w:color="auto"/>
        <w:bottom w:val="none" w:sz="0" w:space="0" w:color="auto"/>
        <w:right w:val="none" w:sz="0" w:space="0" w:color="auto"/>
      </w:divBdr>
    </w:div>
    <w:div w:id="1968781116">
      <w:bodyDiv w:val="1"/>
      <w:marLeft w:val="0"/>
      <w:marRight w:val="0"/>
      <w:marTop w:val="0"/>
      <w:marBottom w:val="0"/>
      <w:divBdr>
        <w:top w:val="none" w:sz="0" w:space="0" w:color="auto"/>
        <w:left w:val="none" w:sz="0" w:space="0" w:color="auto"/>
        <w:bottom w:val="none" w:sz="0" w:space="0" w:color="auto"/>
        <w:right w:val="none" w:sz="0" w:space="0" w:color="auto"/>
      </w:divBdr>
    </w:div>
    <w:div w:id="2027636921">
      <w:bodyDiv w:val="1"/>
      <w:marLeft w:val="0"/>
      <w:marRight w:val="0"/>
      <w:marTop w:val="0"/>
      <w:marBottom w:val="0"/>
      <w:divBdr>
        <w:top w:val="none" w:sz="0" w:space="0" w:color="auto"/>
        <w:left w:val="none" w:sz="0" w:space="0" w:color="auto"/>
        <w:bottom w:val="none" w:sz="0" w:space="0" w:color="auto"/>
        <w:right w:val="none" w:sz="0" w:space="0" w:color="auto"/>
      </w:divBdr>
    </w:div>
    <w:div w:id="2031637776">
      <w:bodyDiv w:val="1"/>
      <w:marLeft w:val="0"/>
      <w:marRight w:val="0"/>
      <w:marTop w:val="0"/>
      <w:marBottom w:val="0"/>
      <w:divBdr>
        <w:top w:val="none" w:sz="0" w:space="0" w:color="auto"/>
        <w:left w:val="none" w:sz="0" w:space="0" w:color="auto"/>
        <w:bottom w:val="none" w:sz="0" w:space="0" w:color="auto"/>
        <w:right w:val="none" w:sz="0" w:space="0" w:color="auto"/>
      </w:divBdr>
    </w:div>
    <w:div w:id="2036879488">
      <w:bodyDiv w:val="1"/>
      <w:marLeft w:val="0"/>
      <w:marRight w:val="0"/>
      <w:marTop w:val="0"/>
      <w:marBottom w:val="0"/>
      <w:divBdr>
        <w:top w:val="none" w:sz="0" w:space="0" w:color="auto"/>
        <w:left w:val="none" w:sz="0" w:space="0" w:color="auto"/>
        <w:bottom w:val="none" w:sz="0" w:space="0" w:color="auto"/>
        <w:right w:val="none" w:sz="0" w:space="0" w:color="auto"/>
      </w:divBdr>
    </w:div>
    <w:div w:id="209905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2545</Words>
  <Characters>14509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Pena</dc:creator>
  <cp:keywords/>
  <dc:description/>
  <cp:lastModifiedBy>Catalina Pena</cp:lastModifiedBy>
  <cp:revision>2</cp:revision>
  <dcterms:created xsi:type="dcterms:W3CDTF">2026-07-26T19:25:00Z</dcterms:created>
  <dcterms:modified xsi:type="dcterms:W3CDTF">2026-07-26T19:25:00Z</dcterms:modified>
</cp:coreProperties>
</file>