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964B" w14:textId="77777777" w:rsidR="000109B1" w:rsidRDefault="00000000">
      <w:pPr>
        <w:pBdr>
          <w:bottom w:val="none" w:sz="0" w:space="6" w:color="auto"/>
        </w:pBdr>
        <w:spacing w:after="160" w:line="240" w:lineRule="auto"/>
        <w:rPr>
          <w:rFonts w:ascii="Times New Roman" w:eastAsia="Times New Roman" w:hAnsi="Times New Roman" w:cs="Times New Roman"/>
        </w:rPr>
      </w:pPr>
      <w:r>
        <w:rPr>
          <w:rFonts w:ascii="Times New Roman" w:eastAsia="Times New Roman" w:hAnsi="Times New Roman" w:cs="Times New Roman"/>
        </w:rPr>
        <w:t>GRC Framework LLM Generated Output Analysis/Metrics</w:t>
      </w:r>
    </w:p>
    <w:p w14:paraId="510B6A74" w14:textId="77777777" w:rsidR="000109B1" w:rsidRDefault="00000000">
      <w:pPr>
        <w:pBdr>
          <w:bottom w:val="none" w:sz="0" w:space="6" w:color="auto"/>
        </w:pBd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In order to evaluate the performance and output quality of the selected LLMs process of the given task and relevant information. To gauge these, a </w:t>
      </w:r>
      <w:proofErr w:type="gramStart"/>
      <w:r>
        <w:rPr>
          <w:rFonts w:ascii="Times New Roman" w:eastAsia="Times New Roman" w:hAnsi="Times New Roman" w:cs="Times New Roman"/>
        </w:rPr>
        <w:t>three step</w:t>
      </w:r>
      <w:proofErr w:type="gramEnd"/>
      <w:r>
        <w:rPr>
          <w:rFonts w:ascii="Times New Roman" w:eastAsia="Times New Roman" w:hAnsi="Times New Roman" w:cs="Times New Roman"/>
        </w:rPr>
        <w:t xml:space="preserve"> evaluation process was developed to examine the individual outputs of 9 frameworks across two different papers, Scott &amp; Scott, and Department of Education. This experiment was repeated using three separate LLMs as the model base. There are three total LLMs: Anthropic Claude, GPT 4.1, and Llama 4 Maverick. The evaluation process is as follows:</w:t>
      </w:r>
    </w:p>
    <w:p w14:paraId="3DFFBF41" w14:textId="77777777" w:rsidR="000109B1" w:rsidRDefault="00000000">
      <w:pPr>
        <w:pBdr>
          <w:bottom w:val="none" w:sz="0" w:space="6" w:color="auto"/>
        </w:pBdr>
        <w:spacing w:after="160" w:line="240" w:lineRule="auto"/>
        <w:rPr>
          <w:rFonts w:ascii="Times New Roman" w:eastAsia="Times New Roman" w:hAnsi="Times New Roman" w:cs="Times New Roman"/>
          <w:u w:val="single"/>
        </w:rPr>
      </w:pPr>
      <w:r>
        <w:rPr>
          <w:rFonts w:ascii="Times New Roman" w:eastAsia="Times New Roman" w:hAnsi="Times New Roman" w:cs="Times New Roman"/>
          <w:u w:val="single"/>
        </w:rPr>
        <w:t>Stage 1: Individual Testing</w:t>
      </w:r>
    </w:p>
    <w:p w14:paraId="1758F5A9" w14:textId="77777777" w:rsidR="000109B1" w:rsidRDefault="00000000">
      <w:p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rPr>
        <w:t>One paper and a single framework are run through the GRC tool using a selected LLM as a base. This is repeated with the same paper and base LLM 9 times with each single framework.</w:t>
      </w:r>
    </w:p>
    <w:p w14:paraId="4AD50E17" w14:textId="77777777" w:rsidR="000109B1" w:rsidRDefault="00000000">
      <w:pPr>
        <w:numPr>
          <w:ilvl w:val="0"/>
          <w:numId w:val="17"/>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rPr>
        <w:t>This is done for both papers</w:t>
      </w:r>
    </w:p>
    <w:p w14:paraId="6A8A5CF2" w14:textId="77777777" w:rsidR="000109B1" w:rsidRDefault="00000000">
      <w:p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rPr>
        <w:t>The corresponding GRC reports are then individually run through code that prompts a chosen LLM (Claude) once again (LLM as judge) along with the original paper text associated with the selected GRC report. This is repeated for every GRC report.</w:t>
      </w:r>
    </w:p>
    <w:p w14:paraId="591CB2E3" w14:textId="77777777" w:rsidR="000109B1" w:rsidRDefault="00000000">
      <w:pPr>
        <w:numPr>
          <w:ilvl w:val="0"/>
          <w:numId w:val="15"/>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rPr>
        <w:t>The LLM judge remains the same.</w:t>
      </w:r>
    </w:p>
    <w:p w14:paraId="3D079BC9" w14:textId="77777777" w:rsidR="000109B1" w:rsidRDefault="00000000">
      <w:pPr>
        <w:pBdr>
          <w:bottom w:val="none" w:sz="0" w:space="6" w:color="auto"/>
        </w:pBdr>
        <w:spacing w:before="240" w:after="40" w:line="240" w:lineRule="auto"/>
        <w:rPr>
          <w:rFonts w:ascii="Times New Roman" w:eastAsia="Times New Roman" w:hAnsi="Times New Roman" w:cs="Times New Roman"/>
        </w:rPr>
      </w:pPr>
      <w:r>
        <w:rPr>
          <w:rFonts w:ascii="Times New Roman" w:eastAsia="Times New Roman" w:hAnsi="Times New Roman" w:cs="Times New Roman"/>
        </w:rPr>
        <w:t>1.1 Code Execution Logic</w:t>
      </w:r>
    </w:p>
    <w:p w14:paraId="67F04862" w14:textId="77777777" w:rsidR="000109B1" w:rsidRDefault="00000000">
      <w:pPr>
        <w:numPr>
          <w:ilvl w:val="0"/>
          <w:numId w:val="8"/>
        </w:numPr>
        <w:pBdr>
          <w:bottom w:val="none" w:sz="0" w:space="6" w:color="auto"/>
        </w:pBdr>
        <w:spacing w:before="240" w:line="240" w:lineRule="auto"/>
        <w:rPr>
          <w:rFonts w:ascii="Times New Roman" w:eastAsia="Times New Roman" w:hAnsi="Times New Roman" w:cs="Times New Roman"/>
        </w:rPr>
      </w:pPr>
      <w:r>
        <w:rPr>
          <w:rFonts w:ascii="Times New Roman" w:eastAsia="Times New Roman" w:hAnsi="Times New Roman" w:cs="Times New Roman"/>
          <w:b/>
          <w:bCs/>
        </w:rPr>
        <w:t>Source Document Parsing:</w:t>
      </w:r>
      <w:r>
        <w:rPr>
          <w:rFonts w:ascii="Times New Roman" w:eastAsia="Times New Roman" w:hAnsi="Times New Roman" w:cs="Times New Roman"/>
        </w:rPr>
        <w:t xml:space="preserve"> The script uses </w:t>
      </w:r>
      <w:proofErr w:type="spellStart"/>
      <w:r>
        <w:rPr>
          <w:rFonts w:ascii="Times New Roman" w:eastAsia="Times New Roman" w:hAnsi="Times New Roman" w:cs="Times New Roman"/>
        </w:rPr>
        <w:t>PyMuPDF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fitz</w:t>
      </w:r>
      <w:proofErr w:type="spellEnd"/>
      <w:r>
        <w:rPr>
          <w:rFonts w:ascii="Times New Roman" w:eastAsia="Times New Roman" w:hAnsi="Times New Roman" w:cs="Times New Roman"/>
        </w:rPr>
        <w:t>) to extract the complete raw text from the original paper PDF, establishing the immutable ground-truth document context.</w:t>
      </w:r>
    </w:p>
    <w:p w14:paraId="0815B3B1" w14:textId="77777777" w:rsidR="000109B1" w:rsidRDefault="00000000">
      <w:pPr>
        <w:numPr>
          <w:ilvl w:val="0"/>
          <w:numId w:val="8"/>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Asynchronous LLM Judging:</w:t>
      </w:r>
      <w:r>
        <w:rPr>
          <w:rFonts w:ascii="Times New Roman" w:eastAsia="Times New Roman" w:hAnsi="Times New Roman" w:cs="Times New Roman"/>
        </w:rPr>
        <w:t xml:space="preserve"> The script concurrently prompts the LLM judge (claude-sonnet-4-6) via API calls for every control in the GRC JSON file. It supplies the original paper text alongside the control's rationale, evidence quotes, gaps, and maturity rating (0–5).</w:t>
      </w:r>
    </w:p>
    <w:p w14:paraId="439B49D8" w14:textId="708829D4" w:rsidR="000109B1" w:rsidRDefault="00000000">
      <w:pPr>
        <w:numPr>
          <w:ilvl w:val="0"/>
          <w:numId w:val="8"/>
        </w:numPr>
        <w:pBdr>
          <w:bottom w:val="none" w:sz="0" w:space="6" w:color="auto"/>
        </w:pBdr>
        <w:spacing w:after="240" w:line="240" w:lineRule="auto"/>
        <w:rPr>
          <w:rFonts w:ascii="Times New Roman" w:eastAsia="Times New Roman" w:hAnsi="Times New Roman" w:cs="Times New Roman"/>
        </w:rPr>
      </w:pPr>
      <w:r>
        <w:rPr>
          <w:rFonts w:ascii="Times New Roman" w:eastAsia="Times New Roman" w:hAnsi="Times New Roman" w:cs="Times New Roman"/>
          <w:b/>
          <w:bCs/>
        </w:rPr>
        <w:t>Programmatic Citation Verification:</w:t>
      </w:r>
      <w:r>
        <w:rPr>
          <w:rFonts w:ascii="Times New Roman" w:eastAsia="Times New Roman" w:hAnsi="Times New Roman" w:cs="Times New Roman"/>
        </w:rPr>
        <w:t xml:space="preserve"> To prevent judge hallucinations on citation checks, the script runs a deterministic, sliding-window fuzzy string matcher (</w:t>
      </w:r>
      <w:proofErr w:type="spellStart"/>
      <w:proofErr w:type="gramStart"/>
      <w:r>
        <w:rPr>
          <w:rFonts w:ascii="Times New Roman" w:eastAsia="Times New Roman" w:hAnsi="Times New Roman" w:cs="Times New Roman"/>
        </w:rPr>
        <w:t>difflib.SequenceMatcher</w:t>
      </w:r>
      <w:proofErr w:type="spellEnd"/>
      <w:proofErr w:type="gramEnd"/>
      <w:r>
        <w:rPr>
          <w:rFonts w:ascii="Times New Roman" w:eastAsia="Times New Roman" w:hAnsi="Times New Roman" w:cs="Times New Roman"/>
        </w:rPr>
        <w:t>)</w:t>
      </w:r>
      <w:r w:rsidR="005827AE">
        <w:rPr>
          <w:rFonts w:ascii="Times New Roman" w:eastAsia="Times New Roman" w:hAnsi="Times New Roman" w:cs="Times New Roman"/>
        </w:rPr>
        <w:t xml:space="preserve"> </w:t>
      </w:r>
      <w:r>
        <w:rPr>
          <w:rFonts w:ascii="Times New Roman" w:eastAsia="Times New Roman" w:hAnsi="Times New Roman" w:cs="Times New Roman"/>
        </w:rPr>
        <w:t>comparing cited quotes against the raw PDF text.</w:t>
      </w:r>
    </w:p>
    <w:p w14:paraId="376CB451" w14:textId="77777777" w:rsidR="000109B1" w:rsidRDefault="00000000">
      <w:pPr>
        <w:pBdr>
          <w:bottom w:val="none" w:sz="0" w:space="6" w:color="auto"/>
        </w:pBdr>
        <w:spacing w:before="240" w:after="240" w:line="240" w:lineRule="auto"/>
        <w:rPr>
          <w:rFonts w:ascii="Times New Roman" w:eastAsia="Times New Roman" w:hAnsi="Times New Roman" w:cs="Times New Roman"/>
        </w:rPr>
      </w:pPr>
      <w:r>
        <w:rPr>
          <w:rFonts w:ascii="Times New Roman" w:eastAsia="Times New Roman" w:hAnsi="Times New Roman" w:cs="Times New Roman"/>
        </w:rPr>
        <w:t>1.2 Collected Metrics and Controls</w:t>
      </w:r>
    </w:p>
    <w:p w14:paraId="604E60E3" w14:textId="77777777" w:rsidR="000109B1" w:rsidRDefault="00000000">
      <w:pPr>
        <w:pBdr>
          <w:bottom w:val="none" w:sz="0" w:space="6" w:color="auto"/>
        </w:pBd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In Governance, Risk, and Compliance (GRC), </w:t>
      </w:r>
      <w:r>
        <w:rPr>
          <w:rFonts w:ascii="Times New Roman" w:eastAsia="Times New Roman" w:hAnsi="Times New Roman" w:cs="Times New Roman"/>
          <w:b/>
          <w:bCs/>
        </w:rPr>
        <w:t>controls</w:t>
      </w:r>
      <w:r>
        <w:rPr>
          <w:rFonts w:ascii="Times New Roman" w:eastAsia="Times New Roman" w:hAnsi="Times New Roman" w:cs="Times New Roman"/>
        </w:rPr>
        <w:t xml:space="preserve"> represent the individual policy requirements, safeguards, or administrative rules being audited (e.g., Access Control, Data Encryption, Policy Enforcement). The original GRC framework has a series of controls, and metrics are collected for each control instance:</w:t>
      </w:r>
    </w:p>
    <w:p w14:paraId="39E7E006" w14:textId="77777777" w:rsidR="000109B1" w:rsidRDefault="00000000">
      <w:pPr>
        <w:pBdr>
          <w:bottom w:val="none" w:sz="0" w:space="6" w:color="auto"/>
        </w:pBdr>
        <w:spacing w:before="240" w:after="240" w:line="240" w:lineRule="auto"/>
        <w:rPr>
          <w:rFonts w:ascii="Times New Roman" w:eastAsia="Times New Roman" w:hAnsi="Times New Roman" w:cs="Times New Roman"/>
        </w:rPr>
      </w:pPr>
      <w:r>
        <w:rPr>
          <w:rFonts w:ascii="Times New Roman" w:eastAsia="Times New Roman" w:hAnsi="Times New Roman" w:cs="Times New Roman"/>
        </w:rPr>
        <w:t>The metrics the LLM judge and code pipeline are to determine by comparing the GRC framework report against the original corresponding paper text are as follows:</w:t>
      </w:r>
    </w:p>
    <w:p w14:paraId="0F8A0DD0" w14:textId="77777777" w:rsidR="000109B1" w:rsidRDefault="00000000">
      <w:pPr>
        <w:numPr>
          <w:ilvl w:val="0"/>
          <w:numId w:val="10"/>
        </w:numPr>
        <w:pBdr>
          <w:bottom w:val="none" w:sz="0" w:space="6" w:color="auto"/>
        </w:pBdr>
        <w:spacing w:before="240" w:line="240" w:lineRule="auto"/>
      </w:pPr>
      <w:r>
        <w:rPr>
          <w:rFonts w:ascii="Times New Roman" w:eastAsia="Times New Roman" w:hAnsi="Times New Roman" w:cs="Times New Roman"/>
          <w:b/>
          <w:bCs/>
        </w:rPr>
        <w:t>Faithfulness (0.00 – 1.00):</w:t>
      </w:r>
      <w:r>
        <w:rPr>
          <w:rFonts w:ascii="Times New Roman" w:eastAsia="Times New Roman" w:hAnsi="Times New Roman" w:cs="Times New Roman"/>
        </w:rPr>
        <w:t xml:space="preserve"> Measures whether claims in the score rationale and identified gaps derive </w:t>
      </w:r>
      <w:r>
        <w:rPr>
          <w:rFonts w:ascii="Times New Roman" w:eastAsia="Times New Roman" w:hAnsi="Times New Roman" w:cs="Times New Roman"/>
          <w:i/>
          <w:iCs/>
        </w:rPr>
        <w:t>strictly</w:t>
      </w:r>
      <w:r>
        <w:rPr>
          <w:rFonts w:ascii="Times New Roman" w:eastAsia="Times New Roman" w:hAnsi="Times New Roman" w:cs="Times New Roman"/>
        </w:rPr>
        <w:t xml:space="preserve"> from the cited evidence quotes, penalizing ungrounded assertions or internal contradictions.</w:t>
      </w:r>
    </w:p>
    <w:p w14:paraId="3E40B0EA" w14:textId="77777777" w:rsidR="000109B1" w:rsidRDefault="00000000">
      <w:pPr>
        <w:numPr>
          <w:ilvl w:val="0"/>
          <w:numId w:val="10"/>
        </w:numPr>
        <w:pBdr>
          <w:bottom w:val="none" w:sz="0" w:space="6" w:color="auto"/>
        </w:pBdr>
        <w:spacing w:line="240" w:lineRule="auto"/>
      </w:pPr>
      <w:r>
        <w:rPr>
          <w:rFonts w:ascii="Times New Roman" w:eastAsia="Times New Roman" w:hAnsi="Times New Roman" w:cs="Times New Roman"/>
          <w:b/>
          <w:bCs/>
        </w:rPr>
        <w:t>Evidence Relevance (0.00 – 1.00):</w:t>
      </w:r>
      <w:r>
        <w:rPr>
          <w:rFonts w:ascii="Times New Roman" w:eastAsia="Times New Roman" w:hAnsi="Times New Roman" w:cs="Times New Roman"/>
        </w:rPr>
        <w:t xml:space="preserve"> Measures how directly and genuinely the cited policy excerpts address the specific control requirement, penalizing generic or off-topic context.</w:t>
      </w:r>
    </w:p>
    <w:p w14:paraId="52CFDE5E" w14:textId="77777777" w:rsidR="000109B1" w:rsidRDefault="00000000">
      <w:pPr>
        <w:numPr>
          <w:ilvl w:val="0"/>
          <w:numId w:val="10"/>
        </w:numPr>
        <w:pBdr>
          <w:bottom w:val="none" w:sz="0" w:space="6" w:color="auto"/>
        </w:pBdr>
        <w:spacing w:line="240" w:lineRule="auto"/>
      </w:pPr>
      <w:r>
        <w:rPr>
          <w:rFonts w:ascii="Times New Roman" w:eastAsia="Times New Roman" w:hAnsi="Times New Roman" w:cs="Times New Roman"/>
          <w:b/>
          <w:bCs/>
        </w:rPr>
        <w:t>Score Consistency (0.00 – 1.00):</w:t>
      </w:r>
      <w:r>
        <w:rPr>
          <w:rFonts w:ascii="Times New Roman" w:eastAsia="Times New Roman" w:hAnsi="Times New Roman" w:cs="Times New Roman"/>
        </w:rPr>
        <w:t xml:space="preserve"> Evaluates if the assigned maturity score (0–5 based on standardized GRC definitions like CMMI/COSO) is logically justified by the evidence strength and identified gaps.</w:t>
      </w:r>
    </w:p>
    <w:p w14:paraId="0B92A26E" w14:textId="77777777" w:rsidR="000109B1" w:rsidRDefault="00000000">
      <w:pPr>
        <w:numPr>
          <w:ilvl w:val="0"/>
          <w:numId w:val="10"/>
        </w:numPr>
        <w:pBdr>
          <w:bottom w:val="none" w:sz="0" w:space="6" w:color="auto"/>
        </w:pBdr>
        <w:spacing w:line="240" w:lineRule="auto"/>
      </w:pPr>
      <w:r>
        <w:rPr>
          <w:rFonts w:ascii="Times New Roman" w:eastAsia="Times New Roman" w:hAnsi="Times New Roman" w:cs="Times New Roman"/>
          <w:b/>
          <w:bCs/>
        </w:rPr>
        <w:t>Gap Completeness (0.00 – 1.00):</w:t>
      </w:r>
      <w:r>
        <w:rPr>
          <w:rFonts w:ascii="Times New Roman" w:eastAsia="Times New Roman" w:hAnsi="Times New Roman" w:cs="Times New Roman"/>
        </w:rPr>
        <w:t xml:space="preserve"> Assesses whether identified gaps accurately and comprehensively capture missing control requirements.</w:t>
      </w:r>
    </w:p>
    <w:p w14:paraId="136E071E" w14:textId="77777777" w:rsidR="000109B1" w:rsidRDefault="00000000">
      <w:pPr>
        <w:numPr>
          <w:ilvl w:val="0"/>
          <w:numId w:val="10"/>
        </w:numPr>
        <w:pBdr>
          <w:bottom w:val="none" w:sz="0" w:space="6" w:color="auto"/>
        </w:pBdr>
        <w:spacing w:line="240" w:lineRule="auto"/>
      </w:pPr>
      <w:r>
        <w:rPr>
          <w:rFonts w:ascii="Times New Roman" w:eastAsia="Times New Roman" w:hAnsi="Times New Roman" w:cs="Times New Roman"/>
          <w:b/>
          <w:bCs/>
        </w:rPr>
        <w:lastRenderedPageBreak/>
        <w:t>Recommendation Quality (0.00 – 1.00):</w:t>
      </w:r>
      <w:r>
        <w:rPr>
          <w:rFonts w:ascii="Times New Roman" w:eastAsia="Times New Roman" w:hAnsi="Times New Roman" w:cs="Times New Roman"/>
        </w:rPr>
        <w:t xml:space="preserve"> Measures whether recommendations are specific, actionable, and directly targeted at resolving identified control gaps.</w:t>
      </w:r>
    </w:p>
    <w:p w14:paraId="7F13C35D" w14:textId="77777777" w:rsidR="000109B1" w:rsidRDefault="00000000">
      <w:pPr>
        <w:numPr>
          <w:ilvl w:val="0"/>
          <w:numId w:val="10"/>
        </w:numPr>
        <w:pBdr>
          <w:bottom w:val="none" w:sz="0" w:space="6" w:color="auto"/>
        </w:pBdr>
        <w:spacing w:after="240" w:line="240" w:lineRule="auto"/>
      </w:pPr>
      <w:r>
        <w:rPr>
          <w:rFonts w:ascii="Times New Roman" w:eastAsia="Times New Roman" w:hAnsi="Times New Roman" w:cs="Times New Roman"/>
          <w:b/>
          <w:bCs/>
        </w:rPr>
        <w:t xml:space="preserve">Evidence </w:t>
      </w:r>
      <w:proofErr w:type="spellStart"/>
      <w:r>
        <w:rPr>
          <w:rFonts w:ascii="Times New Roman" w:eastAsia="Times New Roman" w:hAnsi="Times New Roman" w:cs="Times New Roman"/>
          <w:b/>
          <w:bCs/>
        </w:rPr>
        <w:t>Groundedness</w:t>
      </w:r>
      <w:proofErr w:type="spellEnd"/>
      <w:r>
        <w:rPr>
          <w:rFonts w:ascii="Times New Roman" w:eastAsia="Times New Roman" w:hAnsi="Times New Roman" w:cs="Times New Roman"/>
          <w:b/>
          <w:bCs/>
        </w:rPr>
        <w:t xml:space="preserve"> (0.00 – 1.00):</w:t>
      </w:r>
      <w:r>
        <w:rPr>
          <w:rFonts w:ascii="Times New Roman" w:eastAsia="Times New Roman" w:hAnsi="Times New Roman" w:cs="Times New Roman"/>
        </w:rPr>
        <w:t xml:space="preserve"> A deterministic, non-LLM score generated by the </w:t>
      </w:r>
      <w:proofErr w:type="spellStart"/>
      <w:r>
        <w:rPr>
          <w:rFonts w:ascii="Times New Roman" w:eastAsia="Times New Roman" w:hAnsi="Times New Roman" w:cs="Times New Roman"/>
        </w:rPr>
        <w:t>difflib</w:t>
      </w:r>
      <w:proofErr w:type="spellEnd"/>
      <w:r>
        <w:rPr>
          <w:rFonts w:ascii="Times New Roman" w:eastAsia="Times New Roman" w:hAnsi="Times New Roman" w:cs="Times New Roman"/>
        </w:rPr>
        <w:t xml:space="preserve"> code execution step to verify if cited evidence quotes actually exist in the source document.</w:t>
      </w:r>
    </w:p>
    <w:p w14:paraId="343AD334" w14:textId="77777777" w:rsidR="000109B1" w:rsidRDefault="00000000">
      <w:pPr>
        <w:pBdr>
          <w:bottom w:val="none" w:sz="0" w:space="6" w:color="auto"/>
        </w:pBdr>
        <w:spacing w:after="160" w:line="240" w:lineRule="auto"/>
        <w:rPr>
          <w:rFonts w:ascii="Times New Roman" w:eastAsia="Times New Roman" w:hAnsi="Times New Roman" w:cs="Times New Roman"/>
          <w:u w:val="single"/>
        </w:rPr>
      </w:pPr>
      <w:r>
        <w:rPr>
          <w:rFonts w:ascii="Times New Roman" w:eastAsia="Times New Roman" w:hAnsi="Times New Roman" w:cs="Times New Roman"/>
          <w:u w:val="single"/>
        </w:rPr>
        <w:t>Stage 2: Flat Population Consolidation</w:t>
      </w:r>
    </w:p>
    <w:p w14:paraId="4FC534A7" w14:textId="77777777" w:rsidR="000109B1" w:rsidRDefault="00000000">
      <w:pPr>
        <w:pBdr>
          <w:bottom w:val="none" w:sz="0" w:space="6" w:color="auto"/>
        </w:pBdr>
        <w:spacing w:after="160" w:line="240" w:lineRule="auto"/>
        <w:rPr>
          <w:rFonts w:ascii="Times New Roman" w:eastAsia="Times New Roman" w:hAnsi="Times New Roman" w:cs="Times New Roman"/>
        </w:rPr>
      </w:pPr>
      <w:r>
        <w:rPr>
          <w:rFonts w:ascii="Times New Roman" w:eastAsia="Times New Roman" w:hAnsi="Times New Roman" w:cs="Times New Roman"/>
        </w:rPr>
        <w:t>This stage consists of a pipeline that once again utilizes the earlier judge LLM (Claude). The pipeline extracts the data points from every individual control across all domains into a single, flat population pool.</w:t>
      </w:r>
    </w:p>
    <w:p w14:paraId="5B81BE70" w14:textId="77777777" w:rsidR="000109B1" w:rsidRDefault="00000000">
      <w:pPr>
        <w:pBdr>
          <w:bottom w:val="none" w:sz="0" w:space="6" w:color="auto"/>
        </w:pBdr>
        <w:spacing w:before="240" w:after="40" w:line="240" w:lineRule="auto"/>
        <w:rPr>
          <w:rFonts w:ascii="Times New Roman" w:eastAsia="Times New Roman" w:hAnsi="Times New Roman" w:cs="Times New Roman"/>
        </w:rPr>
      </w:pPr>
      <w:r>
        <w:rPr>
          <w:rFonts w:ascii="Times New Roman" w:eastAsia="Times New Roman" w:hAnsi="Times New Roman" w:cs="Times New Roman"/>
        </w:rPr>
        <w:t xml:space="preserve">2.1 Code Execution Logic </w:t>
      </w:r>
    </w:p>
    <w:p w14:paraId="1B73AB60" w14:textId="77777777" w:rsidR="000109B1" w:rsidRDefault="00000000">
      <w:pPr>
        <w:numPr>
          <w:ilvl w:val="0"/>
          <w:numId w:val="13"/>
        </w:numPr>
        <w:pBdr>
          <w:bottom w:val="none" w:sz="0" w:space="6" w:color="auto"/>
        </w:pBdr>
        <w:spacing w:before="240" w:line="240" w:lineRule="auto"/>
        <w:rPr>
          <w:rFonts w:ascii="Times New Roman" w:eastAsia="Times New Roman" w:hAnsi="Times New Roman" w:cs="Times New Roman"/>
        </w:rPr>
      </w:pPr>
      <w:r>
        <w:rPr>
          <w:rFonts w:ascii="Times New Roman" w:eastAsia="Times New Roman" w:hAnsi="Times New Roman" w:cs="Times New Roman"/>
          <w:b/>
          <w:bCs/>
        </w:rPr>
        <w:t>Directory Processing:</w:t>
      </w:r>
      <w:r>
        <w:rPr>
          <w:rFonts w:ascii="Times New Roman" w:eastAsia="Times New Roman" w:hAnsi="Times New Roman" w:cs="Times New Roman"/>
        </w:rPr>
        <w:t xml:space="preserve"> The script recursively scans designated target directories to parse all stage 1 evaluation outputs and corresponding GRC framework assessment reports (.</w:t>
      </w:r>
      <w:proofErr w:type="spellStart"/>
      <w:r>
        <w:rPr>
          <w:rFonts w:ascii="Times New Roman" w:eastAsia="Times New Roman" w:hAnsi="Times New Roman" w:cs="Times New Roman"/>
        </w:rPr>
        <w:t>json</w:t>
      </w:r>
      <w:proofErr w:type="spellEnd"/>
      <w:r>
        <w:rPr>
          <w:rFonts w:ascii="Times New Roman" w:eastAsia="Times New Roman" w:hAnsi="Times New Roman" w:cs="Times New Roman"/>
        </w:rPr>
        <w:t xml:space="preserve"> files).</w:t>
      </w:r>
    </w:p>
    <w:p w14:paraId="3F824FCD" w14:textId="77777777" w:rsidR="000109B1" w:rsidRDefault="00000000">
      <w:pPr>
        <w:numPr>
          <w:ilvl w:val="0"/>
          <w:numId w:val="13"/>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Statistical Calculation:</w:t>
      </w:r>
      <w:r>
        <w:rPr>
          <w:rFonts w:ascii="Times New Roman" w:eastAsia="Times New Roman" w:hAnsi="Times New Roman" w:cs="Times New Roman"/>
        </w:rPr>
        <w:t xml:space="preserve"> It aggregates control-level metrics across entire populations to generate descriptive statistics (means, medians, standard deviations, and failure percentages).</w:t>
      </w:r>
    </w:p>
    <w:p w14:paraId="053C41B8" w14:textId="77777777" w:rsidR="000109B1" w:rsidRDefault="00000000">
      <w:pPr>
        <w:numPr>
          <w:ilvl w:val="0"/>
          <w:numId w:val="13"/>
        </w:numPr>
        <w:pBdr>
          <w:bottom w:val="none" w:sz="0" w:space="6" w:color="auto"/>
        </w:pBdr>
        <w:spacing w:after="240" w:line="240" w:lineRule="auto"/>
        <w:rPr>
          <w:rFonts w:ascii="Times New Roman" w:eastAsia="Times New Roman" w:hAnsi="Times New Roman" w:cs="Times New Roman"/>
        </w:rPr>
      </w:pPr>
      <w:r>
        <w:rPr>
          <w:rFonts w:ascii="Times New Roman" w:eastAsia="Times New Roman" w:hAnsi="Times New Roman" w:cs="Times New Roman"/>
          <w:b/>
          <w:bCs/>
        </w:rPr>
        <w:t>Artifact Generation:</w:t>
      </w:r>
      <w:r>
        <w:rPr>
          <w:rFonts w:ascii="Times New Roman" w:eastAsia="Times New Roman" w:hAnsi="Times New Roman" w:cs="Times New Roman"/>
        </w:rPr>
        <w:t xml:space="preserve"> It uses matplotlib to render visual graphs and passes statistical summaries to claude-sonnet-4-6 to synthesize an executive narrative report.</w:t>
      </w:r>
    </w:p>
    <w:p w14:paraId="73B1E5F0" w14:textId="77777777" w:rsidR="000109B1" w:rsidRDefault="00000000">
      <w:pPr>
        <w:pBdr>
          <w:bottom w:val="none" w:sz="0" w:space="6" w:color="auto"/>
        </w:pBdr>
        <w:spacing w:before="240" w:after="240" w:line="240" w:lineRule="auto"/>
        <w:rPr>
          <w:rFonts w:ascii="Times New Roman" w:eastAsia="Times New Roman" w:hAnsi="Times New Roman" w:cs="Times New Roman"/>
        </w:rPr>
      </w:pPr>
      <w:r>
        <w:rPr>
          <w:rFonts w:ascii="Times New Roman" w:eastAsia="Times New Roman" w:hAnsi="Times New Roman" w:cs="Times New Roman"/>
        </w:rPr>
        <w:t>2.2 Aggregated Data Points</w:t>
      </w:r>
    </w:p>
    <w:p w14:paraId="0ACF2DF0" w14:textId="77777777" w:rsidR="000109B1" w:rsidRDefault="00000000">
      <w:pPr>
        <w:numPr>
          <w:ilvl w:val="0"/>
          <w:numId w:val="14"/>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Continuous Metrics:</w:t>
      </w:r>
      <w:r>
        <w:rPr>
          <w:rFonts w:ascii="Times New Roman" w:eastAsia="Times New Roman" w:hAnsi="Times New Roman" w:cs="Times New Roman"/>
        </w:rPr>
        <w:t xml:space="preserve"> The pipeline aggregates every individual control score across the entire run and divides by the total number of controls to calculate a single, true macro population mean.</w:t>
      </w:r>
    </w:p>
    <w:p w14:paraId="49220C81" w14:textId="77777777" w:rsidR="000109B1" w:rsidRDefault="00000000">
      <w:pPr>
        <w:numPr>
          <w:ilvl w:val="0"/>
          <w:numId w:val="14"/>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Categorical Maturity Values:</w:t>
      </w:r>
      <w:r>
        <w:rPr>
          <w:rFonts w:ascii="Times New Roman" w:eastAsia="Times New Roman" w:hAnsi="Times New Roman" w:cs="Times New Roman"/>
        </w:rPr>
        <w:t xml:space="preserve"> The pipeline conducts a frequency count across the entire pool of controls to tally exactly how many requirements fell into each available maturity tier.</w:t>
      </w:r>
    </w:p>
    <w:p w14:paraId="3A46932B" w14:textId="77777777" w:rsidR="000109B1" w:rsidRDefault="000109B1">
      <w:pPr>
        <w:pBdr>
          <w:bottom w:val="none" w:sz="0" w:space="6" w:color="auto"/>
        </w:pBdr>
        <w:spacing w:line="240" w:lineRule="auto"/>
        <w:rPr>
          <w:rFonts w:ascii="Times New Roman" w:eastAsia="Times New Roman" w:hAnsi="Times New Roman" w:cs="Times New Roman"/>
        </w:rPr>
      </w:pPr>
    </w:p>
    <w:p w14:paraId="4088BE73" w14:textId="77777777" w:rsidR="000109B1" w:rsidRDefault="00000000">
      <w:p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rPr>
        <w:t xml:space="preserve">2.3 Graphs and Diagrams of the following are generated - </w:t>
      </w:r>
    </w:p>
    <w:p w14:paraId="58FF15D8" w14:textId="77777777" w:rsidR="000109B1" w:rsidRDefault="00000000">
      <w:pPr>
        <w:numPr>
          <w:ilvl w:val="0"/>
          <w:numId w:val="3"/>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Overall RAG Quality Score Bar Chart:</w:t>
      </w:r>
      <w:r>
        <w:rPr>
          <w:rFonts w:ascii="Times New Roman" w:eastAsia="Times New Roman" w:hAnsi="Times New Roman" w:cs="Times New Roman"/>
        </w:rPr>
        <w:t xml:space="preserve"> Displays macro quality comparisons.</w:t>
      </w:r>
    </w:p>
    <w:p w14:paraId="4CF5F807" w14:textId="77777777" w:rsidR="000109B1" w:rsidRDefault="00000000">
      <w:pPr>
        <w:numPr>
          <w:ilvl w:val="0"/>
          <w:numId w:val="3"/>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Six-Dimension Averages Bar Chart:</w:t>
      </w:r>
      <w:r>
        <w:rPr>
          <w:rFonts w:ascii="Times New Roman" w:eastAsia="Times New Roman" w:hAnsi="Times New Roman" w:cs="Times New Roman"/>
        </w:rPr>
        <w:t xml:space="preserve"> Shows population averages across all 6 metrics.</w:t>
      </w:r>
    </w:p>
    <w:p w14:paraId="1339085A" w14:textId="77777777" w:rsidR="000109B1" w:rsidRDefault="00000000">
      <w:pPr>
        <w:numPr>
          <w:ilvl w:val="0"/>
          <w:numId w:val="3"/>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RAG Quality Profile Radar Chart:</w:t>
      </w:r>
      <w:r>
        <w:rPr>
          <w:rFonts w:ascii="Times New Roman" w:eastAsia="Times New Roman" w:hAnsi="Times New Roman" w:cs="Times New Roman"/>
        </w:rPr>
        <w:t xml:space="preserve"> Illustrates system strengths and dimensional balance.</w:t>
      </w:r>
    </w:p>
    <w:p w14:paraId="0E021614" w14:textId="77777777" w:rsidR="000109B1" w:rsidRDefault="00000000">
      <w:pPr>
        <w:numPr>
          <w:ilvl w:val="0"/>
          <w:numId w:val="3"/>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Weak Dimension Histograms:</w:t>
      </w:r>
      <w:r>
        <w:rPr>
          <w:rFonts w:ascii="Times New Roman" w:eastAsia="Times New Roman" w:hAnsi="Times New Roman" w:cs="Times New Roman"/>
        </w:rPr>
        <w:t xml:space="preserve"> Tracks score variance and density for low-performing dimensions.</w:t>
      </w:r>
    </w:p>
    <w:p w14:paraId="0115A548" w14:textId="77777777" w:rsidR="000109B1" w:rsidRDefault="00000000">
      <w:pPr>
        <w:numPr>
          <w:ilvl w:val="0"/>
          <w:numId w:val="3"/>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Maturity Score Distribution Histogram:</w:t>
      </w:r>
      <w:r>
        <w:rPr>
          <w:rFonts w:ascii="Times New Roman" w:eastAsia="Times New Roman" w:hAnsi="Times New Roman" w:cs="Times New Roman"/>
        </w:rPr>
        <w:t xml:space="preserve"> Maps the frequency of assigned maturity ratings.</w:t>
      </w:r>
    </w:p>
    <w:p w14:paraId="36726E7C" w14:textId="77777777" w:rsidR="000109B1" w:rsidRDefault="000109B1">
      <w:pPr>
        <w:pBdr>
          <w:bottom w:val="none" w:sz="0" w:space="6" w:color="auto"/>
        </w:pBdr>
        <w:spacing w:line="240" w:lineRule="auto"/>
        <w:rPr>
          <w:rFonts w:ascii="Times New Roman" w:eastAsia="Times New Roman" w:hAnsi="Times New Roman" w:cs="Times New Roman"/>
        </w:rPr>
      </w:pPr>
    </w:p>
    <w:p w14:paraId="5F054EC8" w14:textId="77777777" w:rsidR="000109B1" w:rsidRDefault="00000000">
      <w:pPr>
        <w:pBdr>
          <w:bottom w:val="none" w:sz="0" w:space="6" w:color="auto"/>
        </w:pBdr>
        <w:spacing w:after="160" w:line="240" w:lineRule="auto"/>
        <w:rPr>
          <w:rFonts w:ascii="Times New Roman" w:eastAsia="Times New Roman" w:hAnsi="Times New Roman" w:cs="Times New Roman"/>
          <w:u w:val="single"/>
        </w:rPr>
      </w:pPr>
      <w:r>
        <w:rPr>
          <w:rFonts w:ascii="Times New Roman" w:eastAsia="Times New Roman" w:hAnsi="Times New Roman" w:cs="Times New Roman"/>
          <w:u w:val="single"/>
        </w:rPr>
        <w:t>Stage 3: Overall Metrics Table and Visualizations</w:t>
      </w:r>
    </w:p>
    <w:p w14:paraId="69AC3BC0" w14:textId="77777777" w:rsidR="000109B1" w:rsidRDefault="00000000">
      <w:pPr>
        <w:pBdr>
          <w:bottom w:val="none" w:sz="0" w:space="6" w:color="auto"/>
        </w:pBd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This is the presentation layer. It performs no new downstream mathematical operations or secondary calculations. It instead takes the true population means and raw score distributions finalized in Stage 2 and inputs them into key visualizations and tables. </w:t>
      </w:r>
    </w:p>
    <w:p w14:paraId="0F7D2093" w14:textId="77777777" w:rsidR="000109B1" w:rsidRDefault="00000000">
      <w:pPr>
        <w:numPr>
          <w:ilvl w:val="0"/>
          <w:numId w:val="16"/>
        </w:numPr>
        <w:pBdr>
          <w:bottom w:val="none" w:sz="0" w:space="6" w:color="auto"/>
        </w:pBdr>
        <w:spacing w:before="240" w:line="240" w:lineRule="auto"/>
        <w:rPr>
          <w:rFonts w:ascii="Times New Roman" w:eastAsia="Times New Roman" w:hAnsi="Times New Roman" w:cs="Times New Roman"/>
        </w:rPr>
      </w:pPr>
      <w:r>
        <w:rPr>
          <w:rFonts w:ascii="Times New Roman" w:eastAsia="Times New Roman" w:hAnsi="Times New Roman" w:cs="Times New Roman"/>
          <w:b/>
          <w:bCs/>
        </w:rPr>
        <w:t>The Master Evaluation Matrix Table:</w:t>
      </w:r>
      <w:r>
        <w:rPr>
          <w:rFonts w:ascii="Times New Roman" w:eastAsia="Times New Roman" w:hAnsi="Times New Roman" w:cs="Times New Roman"/>
        </w:rPr>
        <w:t xml:space="preserve"> The macro population means calculated at the end of Stage 2 are transferred directly into a unified comparison grid to allow side-by-side performance tracking across different model runs.</w:t>
      </w:r>
    </w:p>
    <w:p w14:paraId="4E57697D" w14:textId="77777777" w:rsidR="000109B1" w:rsidRDefault="00000000">
      <w:pPr>
        <w:numPr>
          <w:ilvl w:val="0"/>
          <w:numId w:val="16"/>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t>Radar Charts:</w:t>
      </w:r>
      <w:r>
        <w:rPr>
          <w:rFonts w:ascii="Times New Roman" w:eastAsia="Times New Roman" w:hAnsi="Times New Roman" w:cs="Times New Roman"/>
        </w:rPr>
        <w:t xml:space="preserve"> The final dimension means from Stage 2 are mapped as fixed geometric coordinates along matching radial axes to visually illustrate each run's distinct performance profile.</w:t>
      </w:r>
    </w:p>
    <w:p w14:paraId="0A76C232" w14:textId="77777777" w:rsidR="000109B1" w:rsidRDefault="00000000">
      <w:pPr>
        <w:numPr>
          <w:ilvl w:val="0"/>
          <w:numId w:val="16"/>
        </w:numPr>
        <w:pBdr>
          <w:bottom w:val="none" w:sz="0" w:space="6" w:color="auto"/>
        </w:pBd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Performance Histograms:</w:t>
      </w:r>
      <w:r>
        <w:rPr>
          <w:rFonts w:ascii="Times New Roman" w:eastAsia="Times New Roman" w:hAnsi="Times New Roman" w:cs="Times New Roman"/>
        </w:rPr>
        <w:t xml:space="preserve"> Rather than using summary averages, Stage 3 pulls the entire raw array of individual control scores compiled during Stage 2. It passes this complete array to the graphing library to accurately plot the exact distribution, density, and variance of the scores.</w:t>
      </w:r>
    </w:p>
    <w:p w14:paraId="0904AD38" w14:textId="77777777" w:rsidR="000109B1" w:rsidRDefault="00000000">
      <w:pPr>
        <w:numPr>
          <w:ilvl w:val="0"/>
          <w:numId w:val="16"/>
        </w:numPr>
        <w:pBdr>
          <w:bottom w:val="none" w:sz="0" w:space="6" w:color="auto"/>
        </w:pBdr>
        <w:spacing w:after="240" w:line="240" w:lineRule="auto"/>
        <w:rPr>
          <w:rFonts w:ascii="Times New Roman" w:eastAsia="Times New Roman" w:hAnsi="Times New Roman" w:cs="Times New Roman"/>
        </w:rPr>
      </w:pPr>
      <w:r>
        <w:rPr>
          <w:rFonts w:ascii="Times New Roman" w:eastAsia="Times New Roman" w:hAnsi="Times New Roman" w:cs="Times New Roman"/>
          <w:b/>
          <w:bCs/>
        </w:rPr>
        <w:t>Maturity Bar Charts:</w:t>
      </w:r>
      <w:r>
        <w:rPr>
          <w:rFonts w:ascii="Times New Roman" w:eastAsia="Times New Roman" w:hAnsi="Times New Roman" w:cs="Times New Roman"/>
        </w:rPr>
        <w:t xml:space="preserve"> The categorical integer tallies compiled in Stage 2 (the total count of controls sitting at each specific maturity level) are used directly to dictate the heights of the bars on a grouped chart, visually highlighting the classification behavior of each model.</w:t>
      </w:r>
    </w:p>
    <w:p w14:paraId="1375E18A" w14:textId="77777777" w:rsidR="000109B1" w:rsidRDefault="00000000">
      <w:pPr>
        <w:pBdr>
          <w:bottom w:val="none" w:sz="0" w:space="6" w:color="auto"/>
        </w:pBdr>
        <w:spacing w:after="240" w:line="240" w:lineRule="auto"/>
        <w:rPr>
          <w:rFonts w:ascii="Times New Roman" w:eastAsia="Times New Roman" w:hAnsi="Times New Roman" w:cs="Times New Roman"/>
        </w:rPr>
      </w:pPr>
      <w:r>
        <w:rPr>
          <w:rFonts w:ascii="Times New Roman" w:eastAsia="Times New Roman" w:hAnsi="Times New Roman" w:cs="Times New Roman"/>
        </w:rPr>
        <w:t>3.1 Master Evaluation Matrix (All Runs)</w:t>
      </w:r>
    </w:p>
    <w:tbl>
      <w:tblPr>
        <w:tblStyle w:val="a"/>
        <w:tblW w:w="9360" w:type="dxa"/>
        <w:tblInd w:w="0" w:type="dxa"/>
        <w:tblLayout w:type="fixed"/>
        <w:tblLook w:val="0600" w:firstRow="0" w:lastRow="0" w:firstColumn="0" w:lastColumn="0" w:noHBand="1" w:noVBand="1"/>
      </w:tblPr>
      <w:tblGrid>
        <w:gridCol w:w="943"/>
        <w:gridCol w:w="1271"/>
        <w:gridCol w:w="1107"/>
        <w:gridCol w:w="1246"/>
        <w:gridCol w:w="1435"/>
        <w:gridCol w:w="855"/>
        <w:gridCol w:w="1447"/>
        <w:gridCol w:w="1056"/>
      </w:tblGrid>
      <w:tr w:rsidR="000109B1" w14:paraId="5B10AA3B" w14:textId="77777777">
        <w:trPr>
          <w:trHeight w:val="930"/>
        </w:trPr>
        <w:tc>
          <w:tcPr>
            <w:tcW w:w="943" w:type="dxa"/>
            <w:tcBorders>
              <w:bottom w:val="single" w:sz="6" w:space="0" w:color="000000"/>
            </w:tcBorders>
            <w:tcMar>
              <w:top w:w="80" w:type="dxa"/>
              <w:left w:w="160" w:type="dxa"/>
              <w:bottom w:w="80" w:type="dxa"/>
              <w:right w:w="160" w:type="dxa"/>
            </w:tcMar>
          </w:tcPr>
          <w:p w14:paraId="2C5A1458" w14:textId="77777777" w:rsidR="000109B1" w:rsidRDefault="00000000">
            <w:pPr>
              <w:spacing w:after="16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Rag Quality Report</w:t>
            </w:r>
          </w:p>
        </w:tc>
        <w:tc>
          <w:tcPr>
            <w:tcW w:w="1270" w:type="dxa"/>
            <w:tcBorders>
              <w:bottom w:val="single" w:sz="6" w:space="0" w:color="000000"/>
            </w:tcBorders>
            <w:tcMar>
              <w:top w:w="80" w:type="dxa"/>
              <w:left w:w="160" w:type="dxa"/>
              <w:bottom w:w="80" w:type="dxa"/>
              <w:right w:w="160" w:type="dxa"/>
            </w:tcMar>
          </w:tcPr>
          <w:p w14:paraId="16CB4A10" w14:textId="77777777" w:rsidR="000109B1" w:rsidRDefault="00000000">
            <w:pPr>
              <w:spacing w:after="16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Faithfulness</w:t>
            </w:r>
          </w:p>
        </w:tc>
        <w:tc>
          <w:tcPr>
            <w:tcW w:w="1107" w:type="dxa"/>
            <w:tcBorders>
              <w:bottom w:val="single" w:sz="6" w:space="0" w:color="000000"/>
            </w:tcBorders>
            <w:tcMar>
              <w:top w:w="80" w:type="dxa"/>
              <w:left w:w="160" w:type="dxa"/>
              <w:bottom w:w="80" w:type="dxa"/>
              <w:right w:w="160" w:type="dxa"/>
            </w:tcMar>
          </w:tcPr>
          <w:p w14:paraId="0FE51657" w14:textId="77777777" w:rsidR="000109B1" w:rsidRDefault="00000000">
            <w:pPr>
              <w:spacing w:after="16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Evidence Relevance</w:t>
            </w:r>
          </w:p>
        </w:tc>
        <w:tc>
          <w:tcPr>
            <w:tcW w:w="1245" w:type="dxa"/>
            <w:tcBorders>
              <w:bottom w:val="single" w:sz="6" w:space="0" w:color="000000"/>
            </w:tcBorders>
            <w:tcMar>
              <w:top w:w="80" w:type="dxa"/>
              <w:left w:w="160" w:type="dxa"/>
              <w:bottom w:w="80" w:type="dxa"/>
              <w:right w:w="160" w:type="dxa"/>
            </w:tcMar>
          </w:tcPr>
          <w:p w14:paraId="6296C8DE" w14:textId="77777777" w:rsidR="000109B1" w:rsidRDefault="00000000">
            <w:pPr>
              <w:spacing w:after="16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Score Consistency</w:t>
            </w:r>
          </w:p>
        </w:tc>
        <w:tc>
          <w:tcPr>
            <w:tcW w:w="1434" w:type="dxa"/>
            <w:tcBorders>
              <w:bottom w:val="single" w:sz="6" w:space="0" w:color="000000"/>
            </w:tcBorders>
            <w:tcMar>
              <w:top w:w="80" w:type="dxa"/>
              <w:left w:w="160" w:type="dxa"/>
              <w:bottom w:w="80" w:type="dxa"/>
              <w:right w:w="160" w:type="dxa"/>
            </w:tcMar>
          </w:tcPr>
          <w:p w14:paraId="4DA4CE81" w14:textId="77777777" w:rsidR="000109B1" w:rsidRDefault="00000000">
            <w:pPr>
              <w:spacing w:after="16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Gap Completeness</w:t>
            </w:r>
          </w:p>
        </w:tc>
        <w:tc>
          <w:tcPr>
            <w:tcW w:w="855" w:type="dxa"/>
            <w:tcBorders>
              <w:bottom w:val="single" w:sz="6" w:space="0" w:color="000000"/>
            </w:tcBorders>
            <w:tcMar>
              <w:top w:w="80" w:type="dxa"/>
              <w:left w:w="160" w:type="dxa"/>
              <w:bottom w:w="80" w:type="dxa"/>
              <w:right w:w="160" w:type="dxa"/>
            </w:tcMar>
          </w:tcPr>
          <w:p w14:paraId="46930D3E" w14:textId="77777777" w:rsidR="000109B1" w:rsidRDefault="00000000">
            <w:pPr>
              <w:spacing w:after="16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Rec Quality</w:t>
            </w:r>
          </w:p>
        </w:tc>
        <w:tc>
          <w:tcPr>
            <w:tcW w:w="1446" w:type="dxa"/>
            <w:tcBorders>
              <w:bottom w:val="single" w:sz="6" w:space="0" w:color="000000"/>
            </w:tcBorders>
            <w:tcMar>
              <w:top w:w="80" w:type="dxa"/>
              <w:left w:w="160" w:type="dxa"/>
              <w:bottom w:w="80" w:type="dxa"/>
              <w:right w:w="160" w:type="dxa"/>
            </w:tcMar>
          </w:tcPr>
          <w:p w14:paraId="126FF053" w14:textId="77777777" w:rsidR="000109B1" w:rsidRDefault="00000000">
            <w:pPr>
              <w:spacing w:after="160"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b/>
                <w:bCs/>
                <w:sz w:val="16"/>
                <w:szCs w:val="16"/>
              </w:rPr>
              <w:t>Groundedness</w:t>
            </w:r>
            <w:proofErr w:type="spellEnd"/>
          </w:p>
        </w:tc>
        <w:tc>
          <w:tcPr>
            <w:tcW w:w="1056" w:type="dxa"/>
            <w:tcBorders>
              <w:bottom w:val="single" w:sz="6" w:space="0" w:color="000000"/>
            </w:tcBorders>
            <w:tcMar>
              <w:top w:w="80" w:type="dxa"/>
              <w:left w:w="160" w:type="dxa"/>
              <w:bottom w:w="80" w:type="dxa"/>
              <w:right w:w="160" w:type="dxa"/>
            </w:tcMar>
          </w:tcPr>
          <w:p w14:paraId="6B6349BC" w14:textId="77777777" w:rsidR="000109B1" w:rsidRDefault="00000000">
            <w:pPr>
              <w:spacing w:after="16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OVERALL</w:t>
            </w:r>
          </w:p>
        </w:tc>
      </w:tr>
      <w:tr w:rsidR="000109B1" w14:paraId="699A51A8" w14:textId="77777777">
        <w:trPr>
          <w:trHeight w:val="930"/>
        </w:trPr>
        <w:tc>
          <w:tcPr>
            <w:tcW w:w="943" w:type="dxa"/>
            <w:tcMar>
              <w:top w:w="80" w:type="dxa"/>
              <w:left w:w="160" w:type="dxa"/>
              <w:bottom w:w="80" w:type="dxa"/>
              <w:right w:w="160" w:type="dxa"/>
            </w:tcMar>
          </w:tcPr>
          <w:p w14:paraId="295F79DE"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Dept of Educ Anthrop</w:t>
            </w:r>
          </w:p>
        </w:tc>
        <w:tc>
          <w:tcPr>
            <w:tcW w:w="1270" w:type="dxa"/>
            <w:tcMar>
              <w:top w:w="80" w:type="dxa"/>
              <w:left w:w="160" w:type="dxa"/>
              <w:bottom w:w="80" w:type="dxa"/>
              <w:right w:w="160" w:type="dxa"/>
            </w:tcMar>
          </w:tcPr>
          <w:p w14:paraId="4ED30AB8"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0.863</w:t>
            </w:r>
          </w:p>
        </w:tc>
        <w:tc>
          <w:tcPr>
            <w:tcW w:w="1107" w:type="dxa"/>
            <w:tcMar>
              <w:top w:w="80" w:type="dxa"/>
              <w:left w:w="160" w:type="dxa"/>
              <w:bottom w:w="80" w:type="dxa"/>
              <w:right w:w="160" w:type="dxa"/>
            </w:tcMar>
          </w:tcPr>
          <w:p w14:paraId="114F2337"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0.626</w:t>
            </w:r>
          </w:p>
        </w:tc>
        <w:tc>
          <w:tcPr>
            <w:tcW w:w="1245" w:type="dxa"/>
            <w:tcMar>
              <w:top w:w="80" w:type="dxa"/>
              <w:left w:w="160" w:type="dxa"/>
              <w:bottom w:w="80" w:type="dxa"/>
              <w:right w:w="160" w:type="dxa"/>
            </w:tcMar>
          </w:tcPr>
          <w:p w14:paraId="2406BDD0"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0.818</w:t>
            </w:r>
          </w:p>
        </w:tc>
        <w:tc>
          <w:tcPr>
            <w:tcW w:w="1434" w:type="dxa"/>
            <w:tcMar>
              <w:top w:w="80" w:type="dxa"/>
              <w:left w:w="160" w:type="dxa"/>
              <w:bottom w:w="80" w:type="dxa"/>
              <w:right w:w="160" w:type="dxa"/>
            </w:tcMar>
          </w:tcPr>
          <w:p w14:paraId="31AC9D52"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0.825</w:t>
            </w:r>
          </w:p>
        </w:tc>
        <w:tc>
          <w:tcPr>
            <w:tcW w:w="855" w:type="dxa"/>
            <w:tcMar>
              <w:top w:w="80" w:type="dxa"/>
              <w:left w:w="160" w:type="dxa"/>
              <w:bottom w:w="80" w:type="dxa"/>
              <w:right w:w="160" w:type="dxa"/>
            </w:tcMar>
          </w:tcPr>
          <w:p w14:paraId="461C1493"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0.856</w:t>
            </w:r>
          </w:p>
        </w:tc>
        <w:tc>
          <w:tcPr>
            <w:tcW w:w="1446" w:type="dxa"/>
            <w:tcMar>
              <w:top w:w="80" w:type="dxa"/>
              <w:left w:w="160" w:type="dxa"/>
              <w:bottom w:w="80" w:type="dxa"/>
              <w:right w:w="160" w:type="dxa"/>
            </w:tcMar>
          </w:tcPr>
          <w:p w14:paraId="3E4E37AD"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0.997</w:t>
            </w:r>
          </w:p>
        </w:tc>
        <w:tc>
          <w:tcPr>
            <w:tcW w:w="1056" w:type="dxa"/>
            <w:tcMar>
              <w:top w:w="80" w:type="dxa"/>
              <w:left w:w="160" w:type="dxa"/>
              <w:bottom w:w="80" w:type="dxa"/>
              <w:right w:w="160" w:type="dxa"/>
            </w:tcMar>
          </w:tcPr>
          <w:p w14:paraId="59BAAD61"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0.831</w:t>
            </w:r>
          </w:p>
        </w:tc>
      </w:tr>
      <w:tr w:rsidR="000109B1" w14:paraId="413B935C" w14:textId="77777777">
        <w:trPr>
          <w:trHeight w:val="930"/>
        </w:trPr>
        <w:tc>
          <w:tcPr>
            <w:tcW w:w="943" w:type="dxa"/>
            <w:tcBorders>
              <w:top w:val="single" w:sz="6" w:space="0" w:color="000000"/>
            </w:tcBorders>
            <w:tcMar>
              <w:top w:w="80" w:type="dxa"/>
              <w:left w:w="160" w:type="dxa"/>
              <w:bottom w:w="80" w:type="dxa"/>
              <w:right w:w="160" w:type="dxa"/>
            </w:tcMar>
          </w:tcPr>
          <w:p w14:paraId="603B77B1"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Dept of Educ </w:t>
            </w:r>
            <w:proofErr w:type="spellStart"/>
            <w:r>
              <w:rPr>
                <w:rFonts w:ascii="Times New Roman" w:eastAsia="Times New Roman" w:hAnsi="Times New Roman" w:cs="Times New Roman"/>
                <w:sz w:val="18"/>
                <w:szCs w:val="18"/>
              </w:rPr>
              <w:t>Gpt</w:t>
            </w:r>
            <w:proofErr w:type="spellEnd"/>
            <w:r>
              <w:rPr>
                <w:rFonts w:ascii="Times New Roman" w:eastAsia="Times New Roman" w:hAnsi="Times New Roman" w:cs="Times New Roman"/>
                <w:sz w:val="18"/>
                <w:szCs w:val="18"/>
              </w:rPr>
              <w:t xml:space="preserve"> 4.1</w:t>
            </w:r>
          </w:p>
        </w:tc>
        <w:tc>
          <w:tcPr>
            <w:tcW w:w="1270" w:type="dxa"/>
            <w:tcBorders>
              <w:top w:val="single" w:sz="6" w:space="0" w:color="000000"/>
            </w:tcBorders>
            <w:tcMar>
              <w:top w:w="80" w:type="dxa"/>
              <w:left w:w="160" w:type="dxa"/>
              <w:bottom w:w="80" w:type="dxa"/>
              <w:right w:w="160" w:type="dxa"/>
            </w:tcMar>
          </w:tcPr>
          <w:p w14:paraId="646B9D16"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0.810</w:t>
            </w:r>
          </w:p>
        </w:tc>
        <w:tc>
          <w:tcPr>
            <w:tcW w:w="1107" w:type="dxa"/>
            <w:tcBorders>
              <w:top w:val="single" w:sz="6" w:space="0" w:color="000000"/>
            </w:tcBorders>
            <w:tcMar>
              <w:top w:w="80" w:type="dxa"/>
              <w:left w:w="160" w:type="dxa"/>
              <w:bottom w:w="80" w:type="dxa"/>
              <w:right w:w="160" w:type="dxa"/>
            </w:tcMar>
          </w:tcPr>
          <w:p w14:paraId="0F764264"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0.556</w:t>
            </w:r>
          </w:p>
        </w:tc>
        <w:tc>
          <w:tcPr>
            <w:tcW w:w="1245" w:type="dxa"/>
            <w:tcBorders>
              <w:top w:val="single" w:sz="6" w:space="0" w:color="000000"/>
            </w:tcBorders>
            <w:tcMar>
              <w:top w:w="80" w:type="dxa"/>
              <w:left w:w="160" w:type="dxa"/>
              <w:bottom w:w="80" w:type="dxa"/>
              <w:right w:w="160" w:type="dxa"/>
            </w:tcMar>
          </w:tcPr>
          <w:p w14:paraId="46DDB14C"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0.714</w:t>
            </w:r>
          </w:p>
        </w:tc>
        <w:tc>
          <w:tcPr>
            <w:tcW w:w="1434" w:type="dxa"/>
            <w:tcBorders>
              <w:top w:val="single" w:sz="6" w:space="0" w:color="000000"/>
            </w:tcBorders>
            <w:tcMar>
              <w:top w:w="80" w:type="dxa"/>
              <w:left w:w="160" w:type="dxa"/>
              <w:bottom w:w="80" w:type="dxa"/>
              <w:right w:w="160" w:type="dxa"/>
            </w:tcMar>
          </w:tcPr>
          <w:p w14:paraId="41E78893"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0.727</w:t>
            </w:r>
          </w:p>
        </w:tc>
        <w:tc>
          <w:tcPr>
            <w:tcW w:w="855" w:type="dxa"/>
            <w:tcBorders>
              <w:top w:val="single" w:sz="6" w:space="0" w:color="000000"/>
            </w:tcBorders>
            <w:tcMar>
              <w:top w:w="80" w:type="dxa"/>
              <w:left w:w="160" w:type="dxa"/>
              <w:bottom w:w="80" w:type="dxa"/>
              <w:right w:w="160" w:type="dxa"/>
            </w:tcMar>
          </w:tcPr>
          <w:p w14:paraId="6A6F52AE"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0.784</w:t>
            </w:r>
          </w:p>
        </w:tc>
        <w:tc>
          <w:tcPr>
            <w:tcW w:w="1446" w:type="dxa"/>
            <w:tcBorders>
              <w:top w:val="single" w:sz="6" w:space="0" w:color="000000"/>
            </w:tcBorders>
            <w:tcMar>
              <w:top w:w="80" w:type="dxa"/>
              <w:left w:w="160" w:type="dxa"/>
              <w:bottom w:w="80" w:type="dxa"/>
              <w:right w:w="160" w:type="dxa"/>
            </w:tcMar>
          </w:tcPr>
          <w:p w14:paraId="4BC3D0E6"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0.955</w:t>
            </w:r>
          </w:p>
        </w:tc>
        <w:tc>
          <w:tcPr>
            <w:tcW w:w="1056" w:type="dxa"/>
            <w:tcBorders>
              <w:top w:val="single" w:sz="6" w:space="0" w:color="000000"/>
            </w:tcBorders>
            <w:tcMar>
              <w:top w:w="80" w:type="dxa"/>
              <w:left w:w="160" w:type="dxa"/>
              <w:bottom w:w="80" w:type="dxa"/>
              <w:right w:w="160" w:type="dxa"/>
            </w:tcMar>
          </w:tcPr>
          <w:p w14:paraId="3231F2C7"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0.758</w:t>
            </w:r>
          </w:p>
        </w:tc>
      </w:tr>
      <w:tr w:rsidR="000109B1" w14:paraId="5CD895E3" w14:textId="77777777">
        <w:trPr>
          <w:trHeight w:val="1185"/>
        </w:trPr>
        <w:tc>
          <w:tcPr>
            <w:tcW w:w="943" w:type="dxa"/>
            <w:tcBorders>
              <w:top w:val="single" w:sz="6" w:space="0" w:color="000000"/>
            </w:tcBorders>
            <w:tcMar>
              <w:top w:w="80" w:type="dxa"/>
              <w:left w:w="160" w:type="dxa"/>
              <w:bottom w:w="80" w:type="dxa"/>
              <w:right w:w="160" w:type="dxa"/>
            </w:tcMar>
          </w:tcPr>
          <w:p w14:paraId="25910CCF"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Dept of Educ Llama 4 Mav</w:t>
            </w:r>
          </w:p>
        </w:tc>
        <w:tc>
          <w:tcPr>
            <w:tcW w:w="1270" w:type="dxa"/>
            <w:tcBorders>
              <w:top w:val="single" w:sz="6" w:space="0" w:color="000000"/>
            </w:tcBorders>
            <w:tcMar>
              <w:top w:w="80" w:type="dxa"/>
              <w:left w:w="160" w:type="dxa"/>
              <w:bottom w:w="80" w:type="dxa"/>
              <w:right w:w="160" w:type="dxa"/>
            </w:tcMar>
          </w:tcPr>
          <w:p w14:paraId="48A5399D"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0.805</w:t>
            </w:r>
          </w:p>
        </w:tc>
        <w:tc>
          <w:tcPr>
            <w:tcW w:w="1107" w:type="dxa"/>
            <w:tcBorders>
              <w:top w:val="single" w:sz="6" w:space="0" w:color="000000"/>
            </w:tcBorders>
            <w:tcMar>
              <w:top w:w="80" w:type="dxa"/>
              <w:left w:w="160" w:type="dxa"/>
              <w:bottom w:w="80" w:type="dxa"/>
              <w:right w:w="160" w:type="dxa"/>
            </w:tcMar>
          </w:tcPr>
          <w:p w14:paraId="05A022C4"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0.553</w:t>
            </w:r>
          </w:p>
        </w:tc>
        <w:tc>
          <w:tcPr>
            <w:tcW w:w="1245" w:type="dxa"/>
            <w:tcBorders>
              <w:top w:val="single" w:sz="6" w:space="0" w:color="000000"/>
            </w:tcBorders>
            <w:tcMar>
              <w:top w:w="80" w:type="dxa"/>
              <w:left w:w="160" w:type="dxa"/>
              <w:bottom w:w="80" w:type="dxa"/>
              <w:right w:w="160" w:type="dxa"/>
            </w:tcMar>
          </w:tcPr>
          <w:p w14:paraId="6B626DCD"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0.716</w:t>
            </w:r>
          </w:p>
        </w:tc>
        <w:tc>
          <w:tcPr>
            <w:tcW w:w="1434" w:type="dxa"/>
            <w:tcBorders>
              <w:top w:val="single" w:sz="6" w:space="0" w:color="000000"/>
            </w:tcBorders>
            <w:tcMar>
              <w:top w:w="80" w:type="dxa"/>
              <w:left w:w="160" w:type="dxa"/>
              <w:bottom w:w="80" w:type="dxa"/>
              <w:right w:w="160" w:type="dxa"/>
            </w:tcMar>
          </w:tcPr>
          <w:p w14:paraId="3A1B3EF2"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0.726</w:t>
            </w:r>
          </w:p>
        </w:tc>
        <w:tc>
          <w:tcPr>
            <w:tcW w:w="855" w:type="dxa"/>
            <w:tcBorders>
              <w:top w:val="single" w:sz="6" w:space="0" w:color="000000"/>
            </w:tcBorders>
            <w:tcMar>
              <w:top w:w="80" w:type="dxa"/>
              <w:left w:w="160" w:type="dxa"/>
              <w:bottom w:w="80" w:type="dxa"/>
              <w:right w:w="160" w:type="dxa"/>
            </w:tcMar>
          </w:tcPr>
          <w:p w14:paraId="424A8BED"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0.789</w:t>
            </w:r>
          </w:p>
        </w:tc>
        <w:tc>
          <w:tcPr>
            <w:tcW w:w="1446" w:type="dxa"/>
            <w:tcBorders>
              <w:top w:val="single" w:sz="6" w:space="0" w:color="000000"/>
            </w:tcBorders>
            <w:tcMar>
              <w:top w:w="80" w:type="dxa"/>
              <w:left w:w="160" w:type="dxa"/>
              <w:bottom w:w="80" w:type="dxa"/>
              <w:right w:w="160" w:type="dxa"/>
            </w:tcMar>
          </w:tcPr>
          <w:p w14:paraId="40E6DDE9"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0.965</w:t>
            </w:r>
          </w:p>
        </w:tc>
        <w:tc>
          <w:tcPr>
            <w:tcW w:w="1056" w:type="dxa"/>
            <w:tcBorders>
              <w:top w:val="single" w:sz="6" w:space="0" w:color="000000"/>
            </w:tcBorders>
            <w:tcMar>
              <w:top w:w="80" w:type="dxa"/>
              <w:left w:w="160" w:type="dxa"/>
              <w:bottom w:w="80" w:type="dxa"/>
              <w:right w:w="160" w:type="dxa"/>
            </w:tcMar>
          </w:tcPr>
          <w:p w14:paraId="73DC132D"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0.760</w:t>
            </w:r>
          </w:p>
        </w:tc>
      </w:tr>
      <w:tr w:rsidR="000109B1" w14:paraId="7AD9820C" w14:textId="77777777">
        <w:trPr>
          <w:trHeight w:val="930"/>
        </w:trPr>
        <w:tc>
          <w:tcPr>
            <w:tcW w:w="943" w:type="dxa"/>
            <w:tcBorders>
              <w:top w:val="single" w:sz="6" w:space="0" w:color="000000"/>
            </w:tcBorders>
            <w:tcMar>
              <w:top w:w="80" w:type="dxa"/>
              <w:left w:w="160" w:type="dxa"/>
              <w:bottom w:w="80" w:type="dxa"/>
              <w:right w:w="160" w:type="dxa"/>
            </w:tcMar>
          </w:tcPr>
          <w:p w14:paraId="7BFB1F12"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Scott &amp; Scott Anthrop</w:t>
            </w:r>
          </w:p>
        </w:tc>
        <w:tc>
          <w:tcPr>
            <w:tcW w:w="1270" w:type="dxa"/>
            <w:tcBorders>
              <w:top w:val="single" w:sz="6" w:space="0" w:color="000000"/>
            </w:tcBorders>
            <w:tcMar>
              <w:top w:w="80" w:type="dxa"/>
              <w:left w:w="160" w:type="dxa"/>
              <w:bottom w:w="80" w:type="dxa"/>
              <w:right w:w="160" w:type="dxa"/>
            </w:tcMar>
          </w:tcPr>
          <w:p w14:paraId="6BE3EE2C"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0.861</w:t>
            </w:r>
          </w:p>
        </w:tc>
        <w:tc>
          <w:tcPr>
            <w:tcW w:w="1107" w:type="dxa"/>
            <w:tcBorders>
              <w:top w:val="single" w:sz="6" w:space="0" w:color="000000"/>
            </w:tcBorders>
            <w:tcMar>
              <w:top w:w="80" w:type="dxa"/>
              <w:left w:w="160" w:type="dxa"/>
              <w:bottom w:w="80" w:type="dxa"/>
              <w:right w:w="160" w:type="dxa"/>
            </w:tcMar>
          </w:tcPr>
          <w:p w14:paraId="2234F8E9"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0.657</w:t>
            </w:r>
          </w:p>
        </w:tc>
        <w:tc>
          <w:tcPr>
            <w:tcW w:w="1245" w:type="dxa"/>
            <w:tcBorders>
              <w:top w:val="single" w:sz="6" w:space="0" w:color="000000"/>
            </w:tcBorders>
            <w:tcMar>
              <w:top w:w="80" w:type="dxa"/>
              <w:left w:w="160" w:type="dxa"/>
              <w:bottom w:w="80" w:type="dxa"/>
              <w:right w:w="160" w:type="dxa"/>
            </w:tcMar>
          </w:tcPr>
          <w:p w14:paraId="653DBDE9"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0.830</w:t>
            </w:r>
          </w:p>
        </w:tc>
        <w:tc>
          <w:tcPr>
            <w:tcW w:w="1434" w:type="dxa"/>
            <w:tcBorders>
              <w:top w:val="single" w:sz="6" w:space="0" w:color="000000"/>
            </w:tcBorders>
            <w:tcMar>
              <w:top w:w="80" w:type="dxa"/>
              <w:left w:w="160" w:type="dxa"/>
              <w:bottom w:w="80" w:type="dxa"/>
              <w:right w:w="160" w:type="dxa"/>
            </w:tcMar>
          </w:tcPr>
          <w:p w14:paraId="0CAB877D"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0.834</w:t>
            </w:r>
          </w:p>
        </w:tc>
        <w:tc>
          <w:tcPr>
            <w:tcW w:w="855" w:type="dxa"/>
            <w:tcBorders>
              <w:top w:val="single" w:sz="6" w:space="0" w:color="000000"/>
            </w:tcBorders>
            <w:tcMar>
              <w:top w:w="80" w:type="dxa"/>
              <w:left w:w="160" w:type="dxa"/>
              <w:bottom w:w="80" w:type="dxa"/>
              <w:right w:w="160" w:type="dxa"/>
            </w:tcMar>
          </w:tcPr>
          <w:p w14:paraId="2B7972D8"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0.872</w:t>
            </w:r>
          </w:p>
        </w:tc>
        <w:tc>
          <w:tcPr>
            <w:tcW w:w="1446" w:type="dxa"/>
            <w:tcBorders>
              <w:top w:val="single" w:sz="6" w:space="0" w:color="000000"/>
            </w:tcBorders>
            <w:tcMar>
              <w:top w:w="80" w:type="dxa"/>
              <w:left w:w="160" w:type="dxa"/>
              <w:bottom w:w="80" w:type="dxa"/>
              <w:right w:w="160" w:type="dxa"/>
            </w:tcMar>
          </w:tcPr>
          <w:p w14:paraId="6D37974A"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056" w:type="dxa"/>
            <w:tcBorders>
              <w:top w:val="single" w:sz="6" w:space="0" w:color="000000"/>
            </w:tcBorders>
            <w:tcMar>
              <w:top w:w="80" w:type="dxa"/>
              <w:left w:w="160" w:type="dxa"/>
              <w:bottom w:w="80" w:type="dxa"/>
              <w:right w:w="160" w:type="dxa"/>
            </w:tcMar>
          </w:tcPr>
          <w:p w14:paraId="08B3F563"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0.842</w:t>
            </w:r>
          </w:p>
        </w:tc>
      </w:tr>
      <w:tr w:rsidR="000109B1" w14:paraId="19615458" w14:textId="77777777">
        <w:trPr>
          <w:trHeight w:val="930"/>
        </w:trPr>
        <w:tc>
          <w:tcPr>
            <w:tcW w:w="943" w:type="dxa"/>
            <w:tcBorders>
              <w:top w:val="single" w:sz="6" w:space="0" w:color="000000"/>
            </w:tcBorders>
            <w:tcMar>
              <w:top w:w="80" w:type="dxa"/>
              <w:left w:w="160" w:type="dxa"/>
              <w:bottom w:w="80" w:type="dxa"/>
              <w:right w:w="160" w:type="dxa"/>
            </w:tcMar>
          </w:tcPr>
          <w:p w14:paraId="055EF136"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Scott &amp; Scott </w:t>
            </w:r>
            <w:proofErr w:type="spellStart"/>
            <w:r>
              <w:rPr>
                <w:rFonts w:ascii="Times New Roman" w:eastAsia="Times New Roman" w:hAnsi="Times New Roman" w:cs="Times New Roman"/>
                <w:sz w:val="18"/>
                <w:szCs w:val="18"/>
              </w:rPr>
              <w:t>Gpt</w:t>
            </w:r>
            <w:proofErr w:type="spellEnd"/>
            <w:r>
              <w:rPr>
                <w:rFonts w:ascii="Times New Roman" w:eastAsia="Times New Roman" w:hAnsi="Times New Roman" w:cs="Times New Roman"/>
                <w:sz w:val="18"/>
                <w:szCs w:val="18"/>
              </w:rPr>
              <w:t xml:space="preserve"> 4.1</w:t>
            </w:r>
          </w:p>
        </w:tc>
        <w:tc>
          <w:tcPr>
            <w:tcW w:w="1270" w:type="dxa"/>
            <w:tcBorders>
              <w:top w:val="single" w:sz="6" w:space="0" w:color="000000"/>
            </w:tcBorders>
            <w:tcMar>
              <w:top w:w="80" w:type="dxa"/>
              <w:left w:w="160" w:type="dxa"/>
              <w:bottom w:w="80" w:type="dxa"/>
              <w:right w:w="160" w:type="dxa"/>
            </w:tcMar>
          </w:tcPr>
          <w:p w14:paraId="265858FE"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0.825</w:t>
            </w:r>
          </w:p>
        </w:tc>
        <w:tc>
          <w:tcPr>
            <w:tcW w:w="1107" w:type="dxa"/>
            <w:tcBorders>
              <w:top w:val="single" w:sz="6" w:space="0" w:color="000000"/>
            </w:tcBorders>
            <w:tcMar>
              <w:top w:w="80" w:type="dxa"/>
              <w:left w:w="160" w:type="dxa"/>
              <w:bottom w:w="80" w:type="dxa"/>
              <w:right w:w="160" w:type="dxa"/>
            </w:tcMar>
          </w:tcPr>
          <w:p w14:paraId="265AE0D7"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0.625</w:t>
            </w:r>
          </w:p>
        </w:tc>
        <w:tc>
          <w:tcPr>
            <w:tcW w:w="1245" w:type="dxa"/>
            <w:tcBorders>
              <w:top w:val="single" w:sz="6" w:space="0" w:color="000000"/>
            </w:tcBorders>
            <w:tcMar>
              <w:top w:w="80" w:type="dxa"/>
              <w:left w:w="160" w:type="dxa"/>
              <w:bottom w:w="80" w:type="dxa"/>
              <w:right w:w="160" w:type="dxa"/>
            </w:tcMar>
          </w:tcPr>
          <w:p w14:paraId="07706669"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0.750</w:t>
            </w:r>
          </w:p>
        </w:tc>
        <w:tc>
          <w:tcPr>
            <w:tcW w:w="1434" w:type="dxa"/>
            <w:tcBorders>
              <w:top w:val="single" w:sz="6" w:space="0" w:color="000000"/>
            </w:tcBorders>
            <w:tcMar>
              <w:top w:w="80" w:type="dxa"/>
              <w:left w:w="160" w:type="dxa"/>
              <w:bottom w:w="80" w:type="dxa"/>
              <w:right w:w="160" w:type="dxa"/>
            </w:tcMar>
          </w:tcPr>
          <w:p w14:paraId="7E157680"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0.744</w:t>
            </w:r>
          </w:p>
        </w:tc>
        <w:tc>
          <w:tcPr>
            <w:tcW w:w="855" w:type="dxa"/>
            <w:tcBorders>
              <w:top w:val="single" w:sz="6" w:space="0" w:color="000000"/>
            </w:tcBorders>
            <w:tcMar>
              <w:top w:w="80" w:type="dxa"/>
              <w:left w:w="160" w:type="dxa"/>
              <w:bottom w:w="80" w:type="dxa"/>
              <w:right w:w="160" w:type="dxa"/>
            </w:tcMar>
          </w:tcPr>
          <w:p w14:paraId="186FFAB9"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0.805</w:t>
            </w:r>
          </w:p>
        </w:tc>
        <w:tc>
          <w:tcPr>
            <w:tcW w:w="1446" w:type="dxa"/>
            <w:tcBorders>
              <w:top w:val="single" w:sz="6" w:space="0" w:color="000000"/>
            </w:tcBorders>
            <w:tcMar>
              <w:top w:w="80" w:type="dxa"/>
              <w:left w:w="160" w:type="dxa"/>
              <w:bottom w:w="80" w:type="dxa"/>
              <w:right w:w="160" w:type="dxa"/>
            </w:tcMar>
          </w:tcPr>
          <w:p w14:paraId="1AF2462E"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0.981</w:t>
            </w:r>
          </w:p>
        </w:tc>
        <w:tc>
          <w:tcPr>
            <w:tcW w:w="1056" w:type="dxa"/>
            <w:tcBorders>
              <w:top w:val="single" w:sz="6" w:space="0" w:color="000000"/>
            </w:tcBorders>
            <w:tcMar>
              <w:top w:w="80" w:type="dxa"/>
              <w:left w:w="160" w:type="dxa"/>
              <w:bottom w:w="80" w:type="dxa"/>
              <w:right w:w="160" w:type="dxa"/>
            </w:tcMar>
          </w:tcPr>
          <w:p w14:paraId="5B7B0450"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0.789</w:t>
            </w:r>
          </w:p>
        </w:tc>
      </w:tr>
      <w:tr w:rsidR="000109B1" w14:paraId="54E72BAB" w14:textId="77777777">
        <w:trPr>
          <w:trHeight w:val="1185"/>
        </w:trPr>
        <w:tc>
          <w:tcPr>
            <w:tcW w:w="943" w:type="dxa"/>
            <w:tcBorders>
              <w:top w:val="single" w:sz="6" w:space="0" w:color="000000"/>
            </w:tcBorders>
            <w:tcMar>
              <w:top w:w="80" w:type="dxa"/>
              <w:left w:w="160" w:type="dxa"/>
              <w:bottom w:w="80" w:type="dxa"/>
              <w:right w:w="160" w:type="dxa"/>
            </w:tcMar>
          </w:tcPr>
          <w:p w14:paraId="45ED814B"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Scott &amp; Scott Llama 4 Mav</w:t>
            </w:r>
          </w:p>
        </w:tc>
        <w:tc>
          <w:tcPr>
            <w:tcW w:w="1270" w:type="dxa"/>
            <w:tcBorders>
              <w:top w:val="single" w:sz="6" w:space="0" w:color="000000"/>
            </w:tcBorders>
            <w:tcMar>
              <w:top w:w="80" w:type="dxa"/>
              <w:left w:w="160" w:type="dxa"/>
              <w:bottom w:w="80" w:type="dxa"/>
              <w:right w:w="160" w:type="dxa"/>
            </w:tcMar>
          </w:tcPr>
          <w:p w14:paraId="43860578"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0.827</w:t>
            </w:r>
          </w:p>
        </w:tc>
        <w:tc>
          <w:tcPr>
            <w:tcW w:w="1107" w:type="dxa"/>
            <w:tcBorders>
              <w:top w:val="single" w:sz="6" w:space="0" w:color="000000"/>
            </w:tcBorders>
            <w:tcMar>
              <w:top w:w="80" w:type="dxa"/>
              <w:left w:w="160" w:type="dxa"/>
              <w:bottom w:w="80" w:type="dxa"/>
              <w:right w:w="160" w:type="dxa"/>
            </w:tcMar>
          </w:tcPr>
          <w:p w14:paraId="078CA3AA"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0.620</w:t>
            </w:r>
          </w:p>
        </w:tc>
        <w:tc>
          <w:tcPr>
            <w:tcW w:w="1245" w:type="dxa"/>
            <w:tcBorders>
              <w:top w:val="single" w:sz="6" w:space="0" w:color="000000"/>
            </w:tcBorders>
            <w:tcMar>
              <w:top w:w="80" w:type="dxa"/>
              <w:left w:w="160" w:type="dxa"/>
              <w:bottom w:w="80" w:type="dxa"/>
              <w:right w:w="160" w:type="dxa"/>
            </w:tcMar>
          </w:tcPr>
          <w:p w14:paraId="396F66C8"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0.744</w:t>
            </w:r>
          </w:p>
        </w:tc>
        <w:tc>
          <w:tcPr>
            <w:tcW w:w="1434" w:type="dxa"/>
            <w:tcBorders>
              <w:top w:val="single" w:sz="6" w:space="0" w:color="000000"/>
            </w:tcBorders>
            <w:tcMar>
              <w:top w:w="80" w:type="dxa"/>
              <w:left w:w="160" w:type="dxa"/>
              <w:bottom w:w="80" w:type="dxa"/>
              <w:right w:w="160" w:type="dxa"/>
            </w:tcMar>
          </w:tcPr>
          <w:p w14:paraId="01C6DF13"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0.745</w:t>
            </w:r>
          </w:p>
        </w:tc>
        <w:tc>
          <w:tcPr>
            <w:tcW w:w="855" w:type="dxa"/>
            <w:tcBorders>
              <w:top w:val="single" w:sz="6" w:space="0" w:color="000000"/>
            </w:tcBorders>
            <w:tcMar>
              <w:top w:w="80" w:type="dxa"/>
              <w:left w:w="160" w:type="dxa"/>
              <w:bottom w:w="80" w:type="dxa"/>
              <w:right w:w="160" w:type="dxa"/>
            </w:tcMar>
          </w:tcPr>
          <w:p w14:paraId="45689C44"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0.802</w:t>
            </w:r>
          </w:p>
        </w:tc>
        <w:tc>
          <w:tcPr>
            <w:tcW w:w="1446" w:type="dxa"/>
            <w:tcBorders>
              <w:top w:val="single" w:sz="6" w:space="0" w:color="000000"/>
            </w:tcBorders>
            <w:tcMar>
              <w:top w:w="80" w:type="dxa"/>
              <w:left w:w="160" w:type="dxa"/>
              <w:bottom w:w="80" w:type="dxa"/>
              <w:right w:w="160" w:type="dxa"/>
            </w:tcMar>
          </w:tcPr>
          <w:p w14:paraId="593FB7AB"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0.979</w:t>
            </w:r>
          </w:p>
        </w:tc>
        <w:tc>
          <w:tcPr>
            <w:tcW w:w="1056" w:type="dxa"/>
            <w:tcBorders>
              <w:top w:val="single" w:sz="6" w:space="0" w:color="000000"/>
            </w:tcBorders>
            <w:tcMar>
              <w:top w:w="80" w:type="dxa"/>
              <w:left w:w="160" w:type="dxa"/>
              <w:bottom w:w="80" w:type="dxa"/>
              <w:right w:w="160" w:type="dxa"/>
            </w:tcMar>
          </w:tcPr>
          <w:p w14:paraId="7C75F93A" w14:textId="77777777" w:rsidR="000109B1" w:rsidRDefault="00000000">
            <w:pPr>
              <w:spacing w:after="16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0.786</w:t>
            </w:r>
          </w:p>
        </w:tc>
      </w:tr>
    </w:tbl>
    <w:p w14:paraId="438313DD" w14:textId="77777777" w:rsidR="000109B1" w:rsidRDefault="000109B1">
      <w:pPr>
        <w:spacing w:after="240" w:line="240" w:lineRule="auto"/>
        <w:rPr>
          <w:rFonts w:ascii="Times New Roman" w:eastAsia="Times New Roman" w:hAnsi="Times New Roman" w:cs="Times New Roman"/>
        </w:rPr>
      </w:pPr>
    </w:p>
    <w:p w14:paraId="169DEFD6" w14:textId="77777777" w:rsidR="000109B1" w:rsidRDefault="00000000">
      <w:pPr>
        <w:spacing w:after="80" w:line="240" w:lineRule="auto"/>
        <w:rPr>
          <w:rFonts w:ascii="Times New Roman" w:eastAsia="Times New Roman" w:hAnsi="Times New Roman" w:cs="Times New Roman"/>
        </w:rPr>
      </w:pPr>
      <w:r>
        <w:rPr>
          <w:rFonts w:ascii="Times New Roman" w:eastAsia="Times New Roman" w:hAnsi="Times New Roman" w:cs="Times New Roman"/>
        </w:rPr>
        <w:t>3.2 RAG Quality Profiles (Radar Charts)</w:t>
      </w:r>
    </w:p>
    <w:p w14:paraId="4406A375" w14:textId="77777777" w:rsidR="000109B1"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37232BA" wp14:editId="2F11038E">
            <wp:extent cx="2938463" cy="293846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938463" cy="2938463"/>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3AC22D56" wp14:editId="46521269">
            <wp:extent cx="2916577" cy="291657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916577" cy="2916577"/>
                    </a:xfrm>
                    <a:prstGeom prst="rect">
                      <a:avLst/>
                    </a:prstGeom>
                    <a:ln/>
                  </pic:spPr>
                </pic:pic>
              </a:graphicData>
            </a:graphic>
          </wp:inline>
        </w:drawing>
      </w:r>
    </w:p>
    <w:p w14:paraId="4DB99A9E" w14:textId="77777777" w:rsidR="000109B1" w:rsidRDefault="00000000">
      <w:pPr>
        <w:spacing w:after="80" w:line="240" w:lineRule="auto"/>
        <w:rPr>
          <w:rFonts w:ascii="Times New Roman" w:eastAsia="Times New Roman" w:hAnsi="Times New Roman" w:cs="Times New Roman"/>
        </w:rPr>
      </w:pPr>
      <w:r>
        <w:rPr>
          <w:rFonts w:ascii="Times New Roman" w:eastAsia="Times New Roman" w:hAnsi="Times New Roman" w:cs="Times New Roman"/>
        </w:rPr>
        <w:t>3.3 Evidence Relevance Histograms</w:t>
      </w:r>
    </w:p>
    <w:p w14:paraId="646D7471" w14:textId="77777777" w:rsidR="000109B1"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991BA3" wp14:editId="6DC61FB8">
            <wp:extent cx="5943600" cy="1778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778000"/>
                    </a:xfrm>
                    <a:prstGeom prst="rect">
                      <a:avLst/>
                    </a:prstGeom>
                    <a:ln/>
                  </pic:spPr>
                </pic:pic>
              </a:graphicData>
            </a:graphic>
          </wp:inline>
        </w:drawing>
      </w:r>
    </w:p>
    <w:p w14:paraId="5618F31C" w14:textId="77777777" w:rsidR="000109B1"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BBB813" wp14:editId="10918FD7">
            <wp:extent cx="5943600" cy="1778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778000"/>
                    </a:xfrm>
                    <a:prstGeom prst="rect">
                      <a:avLst/>
                    </a:prstGeom>
                    <a:ln/>
                  </pic:spPr>
                </pic:pic>
              </a:graphicData>
            </a:graphic>
          </wp:inline>
        </w:drawing>
      </w:r>
    </w:p>
    <w:p w14:paraId="16334DC5" w14:textId="77777777" w:rsidR="000109B1" w:rsidRDefault="000109B1">
      <w:pPr>
        <w:spacing w:after="240" w:line="240" w:lineRule="auto"/>
        <w:rPr>
          <w:rFonts w:ascii="Times New Roman" w:eastAsia="Times New Roman" w:hAnsi="Times New Roman" w:cs="Times New Roman"/>
        </w:rPr>
      </w:pPr>
    </w:p>
    <w:p w14:paraId="493B34D0" w14:textId="77777777" w:rsidR="000109B1" w:rsidRDefault="000109B1">
      <w:pPr>
        <w:spacing w:after="240" w:line="240" w:lineRule="auto"/>
        <w:rPr>
          <w:rFonts w:ascii="Times New Roman" w:eastAsia="Times New Roman" w:hAnsi="Times New Roman" w:cs="Times New Roman"/>
        </w:rPr>
      </w:pPr>
    </w:p>
    <w:p w14:paraId="7F65FCE1" w14:textId="77777777" w:rsidR="000109B1" w:rsidRDefault="000109B1">
      <w:pPr>
        <w:spacing w:after="240" w:line="240" w:lineRule="auto"/>
        <w:rPr>
          <w:rFonts w:ascii="Times New Roman" w:eastAsia="Times New Roman" w:hAnsi="Times New Roman" w:cs="Times New Roman"/>
        </w:rPr>
      </w:pPr>
    </w:p>
    <w:p w14:paraId="06A34478" w14:textId="77777777" w:rsidR="000109B1" w:rsidRDefault="00000000">
      <w:pPr>
        <w:spacing w:after="80" w:line="240" w:lineRule="auto"/>
        <w:rPr>
          <w:rFonts w:ascii="Times New Roman" w:eastAsia="Times New Roman" w:hAnsi="Times New Roman" w:cs="Times New Roman"/>
        </w:rPr>
      </w:pPr>
      <w:r>
        <w:rPr>
          <w:rFonts w:ascii="Times New Roman" w:eastAsia="Times New Roman" w:hAnsi="Times New Roman" w:cs="Times New Roman"/>
        </w:rPr>
        <w:lastRenderedPageBreak/>
        <w:t>3.4 Maturity Score Distributions (Bar Charts)</w:t>
      </w:r>
    </w:p>
    <w:p w14:paraId="40866578" w14:textId="77777777" w:rsidR="000109B1"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B47E3E7" wp14:editId="4FFEE29E">
            <wp:extent cx="5943600" cy="2971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2971800"/>
                    </a:xfrm>
                    <a:prstGeom prst="rect">
                      <a:avLst/>
                    </a:prstGeom>
                    <a:ln/>
                  </pic:spPr>
                </pic:pic>
              </a:graphicData>
            </a:graphic>
          </wp:inline>
        </w:drawing>
      </w:r>
    </w:p>
    <w:p w14:paraId="7EEF7712" w14:textId="77777777" w:rsidR="000109B1"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48AF1A" wp14:editId="7F723AE7">
            <wp:extent cx="5943600" cy="297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2971800"/>
                    </a:xfrm>
                    <a:prstGeom prst="rect">
                      <a:avLst/>
                    </a:prstGeom>
                    <a:ln/>
                  </pic:spPr>
                </pic:pic>
              </a:graphicData>
            </a:graphic>
          </wp:inline>
        </w:drawing>
      </w:r>
    </w:p>
    <w:p w14:paraId="43B7DC82" w14:textId="77777777" w:rsidR="000109B1" w:rsidRDefault="00000000">
      <w:pPr>
        <w:spacing w:after="80"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4. Results </w:t>
      </w:r>
    </w:p>
    <w:p w14:paraId="7F934183" w14:textId="77777777" w:rsidR="000109B1" w:rsidRDefault="00000000">
      <w:pPr>
        <w:spacing w:after="80" w:line="240" w:lineRule="auto"/>
        <w:rPr>
          <w:rFonts w:ascii="Times New Roman" w:eastAsia="Times New Roman" w:hAnsi="Times New Roman" w:cs="Times New Roman"/>
        </w:rPr>
      </w:pPr>
      <w:r>
        <w:rPr>
          <w:rFonts w:ascii="Times New Roman" w:eastAsia="Times New Roman" w:hAnsi="Times New Roman" w:cs="Times New Roman"/>
        </w:rPr>
        <w:t>4.1 Anthropic: Conservative and High-Precision Risk Mitigator</w:t>
      </w:r>
    </w:p>
    <w:p w14:paraId="4F453A12" w14:textId="77777777" w:rsidR="000109B1"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rPr>
        <w:t>Across all assets, Anthropic exhibits a highly disciplined, risk-averse operational profile.</w:t>
      </w:r>
    </w:p>
    <w:p w14:paraId="2DD1AB91" w14:textId="77777777" w:rsidR="000109B1" w:rsidRDefault="00000000">
      <w:pPr>
        <w:numPr>
          <w:ilvl w:val="0"/>
          <w:numId w:val="5"/>
        </w:numPr>
        <w:spacing w:line="240" w:lineRule="auto"/>
      </w:pPr>
      <w:r>
        <w:rPr>
          <w:rFonts w:ascii="Times New Roman" w:eastAsia="Times New Roman" w:hAnsi="Times New Roman" w:cs="Times New Roman"/>
          <w:b/>
          <w:bCs/>
        </w:rPr>
        <w:t>Macro Performance:</w:t>
      </w:r>
      <w:r>
        <w:rPr>
          <w:rFonts w:ascii="Times New Roman" w:eastAsia="Times New Roman" w:hAnsi="Times New Roman" w:cs="Times New Roman"/>
        </w:rPr>
        <w:t xml:space="preserve"> The matrix confirms Anthropic is the top-performing architecture, securing an Overall RAG score of 0.831 in the Department of Education evaluation and 0.842 in the Scott &amp; Scott evaluation. It leads significantly in Faithfulness (0.863 and 0.861, respectfully) and achieves near-flawless Evidence </w:t>
      </w:r>
      <w:proofErr w:type="spellStart"/>
      <w:r>
        <w:rPr>
          <w:rFonts w:ascii="Times New Roman" w:eastAsia="Times New Roman" w:hAnsi="Times New Roman" w:cs="Times New Roman"/>
        </w:rPr>
        <w:t>Groundedness</w:t>
      </w:r>
      <w:proofErr w:type="spellEnd"/>
      <w:r>
        <w:rPr>
          <w:rFonts w:ascii="Times New Roman" w:eastAsia="Times New Roman" w:hAnsi="Times New Roman" w:cs="Times New Roman"/>
        </w:rPr>
        <w:t xml:space="preserve"> (0.997 and 1.000, respectfully).</w:t>
      </w:r>
    </w:p>
    <w:p w14:paraId="5FAFAA26" w14:textId="77777777" w:rsidR="000109B1" w:rsidRDefault="00000000">
      <w:pPr>
        <w:numPr>
          <w:ilvl w:val="0"/>
          <w:numId w:val="5"/>
        </w:numPr>
        <w:spacing w:line="240" w:lineRule="auto"/>
      </w:pPr>
      <w:r>
        <w:rPr>
          <w:rFonts w:ascii="Times New Roman" w:eastAsia="Times New Roman" w:hAnsi="Times New Roman" w:cs="Times New Roman"/>
          <w:b/>
          <w:bCs/>
        </w:rPr>
        <w:t>Retrieval Resilience:</w:t>
      </w:r>
      <w:r>
        <w:rPr>
          <w:rFonts w:ascii="Times New Roman" w:eastAsia="Times New Roman" w:hAnsi="Times New Roman" w:cs="Times New Roman"/>
        </w:rPr>
        <w:t xml:space="preserve"> The Evidence Relevance Histograms highlight </w:t>
      </w:r>
      <w:proofErr w:type="spellStart"/>
      <w:r>
        <w:rPr>
          <w:rFonts w:ascii="Times New Roman" w:eastAsia="Times New Roman" w:hAnsi="Times New Roman" w:cs="Times New Roman"/>
        </w:rPr>
        <w:t>Anthropic's</w:t>
      </w:r>
      <w:proofErr w:type="spellEnd"/>
      <w:r>
        <w:rPr>
          <w:rFonts w:ascii="Times New Roman" w:eastAsia="Times New Roman" w:hAnsi="Times New Roman" w:cs="Times New Roman"/>
        </w:rPr>
        <w:t xml:space="preserve"> ability to maximize poor context. In the highly volatile Dept of Education environment (which forces a </w:t>
      </w:r>
      <w:r>
        <w:rPr>
          <w:rFonts w:ascii="Times New Roman" w:eastAsia="Times New Roman" w:hAnsi="Times New Roman" w:cs="Times New Roman"/>
        </w:rPr>
        <w:lastRenderedPageBreak/>
        <w:t>wide, bimodal distribution across all models), Anthropic pushes its mean relevance up to 0.626, significantly higher than its peers. In the more stable Scott &amp; Scott environment, it creates a tight, highly efficient bell curve focused tightly around a 0.657 mean.</w:t>
      </w:r>
    </w:p>
    <w:p w14:paraId="711F50CA" w14:textId="77777777" w:rsidR="000109B1" w:rsidRDefault="00000000">
      <w:pPr>
        <w:numPr>
          <w:ilvl w:val="0"/>
          <w:numId w:val="5"/>
        </w:numPr>
        <w:spacing w:after="240" w:line="240" w:lineRule="auto"/>
      </w:pPr>
      <w:r>
        <w:rPr>
          <w:rFonts w:ascii="Times New Roman" w:eastAsia="Times New Roman" w:hAnsi="Times New Roman" w:cs="Times New Roman"/>
          <w:b/>
          <w:bCs/>
        </w:rPr>
        <w:t>Maturity Classification Behavior:</w:t>
      </w:r>
      <w:r>
        <w:rPr>
          <w:rFonts w:ascii="Times New Roman" w:eastAsia="Times New Roman" w:hAnsi="Times New Roman" w:cs="Times New Roman"/>
        </w:rPr>
        <w:t xml:space="preserve"> The maturity distributions expose </w:t>
      </w:r>
      <w:proofErr w:type="spellStart"/>
      <w:r>
        <w:rPr>
          <w:rFonts w:ascii="Times New Roman" w:eastAsia="Times New Roman" w:hAnsi="Times New Roman" w:cs="Times New Roman"/>
        </w:rPr>
        <w:t>Anthropic's</w:t>
      </w:r>
      <w:proofErr w:type="spellEnd"/>
      <w:r>
        <w:rPr>
          <w:rFonts w:ascii="Times New Roman" w:eastAsia="Times New Roman" w:hAnsi="Times New Roman" w:cs="Times New Roman"/>
        </w:rPr>
        <w:t xml:space="preserve"> defining behavioral trait: strictness. While other models eagerly award passing grades, Anthropic heavily clusters its evaluations in 1 (Ad-hoc) and 2 (Defined) across both environments. It is the only model that aggressively flags failures, assigning over 20–30 controls to </w:t>
      </w:r>
      <w:r>
        <w:rPr>
          <w:rFonts w:ascii="Times New Roman" w:eastAsia="Times New Roman" w:hAnsi="Times New Roman" w:cs="Times New Roman"/>
          <w:b/>
          <w:bCs/>
        </w:rPr>
        <w:t>0 (None)</w:t>
      </w:r>
      <w:r>
        <w:rPr>
          <w:rFonts w:ascii="Times New Roman" w:eastAsia="Times New Roman" w:hAnsi="Times New Roman" w:cs="Times New Roman"/>
        </w:rPr>
        <w:t>. This proves that when context is weak or fragmented, Anthropic responds conservatively rather than guessing. Which is better than causing potential false positives.</w:t>
      </w:r>
    </w:p>
    <w:p w14:paraId="596B3F2E" w14:textId="77777777" w:rsidR="000109B1" w:rsidRDefault="00000000">
      <w:pPr>
        <w:spacing w:after="80" w:line="240" w:lineRule="auto"/>
        <w:rPr>
          <w:rFonts w:ascii="Times New Roman" w:eastAsia="Times New Roman" w:hAnsi="Times New Roman" w:cs="Times New Roman"/>
        </w:rPr>
      </w:pPr>
      <w:r>
        <w:rPr>
          <w:rFonts w:ascii="Times New Roman" w:eastAsia="Times New Roman" w:hAnsi="Times New Roman" w:cs="Times New Roman"/>
        </w:rPr>
        <w:t>4.2 GPT 4.1 &amp; Llama 4 Mav: Over-Confident and Highly Volatile</w:t>
      </w:r>
    </w:p>
    <w:p w14:paraId="0263B3D6" w14:textId="77777777" w:rsidR="000109B1"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rPr>
        <w:t>GPT 4.1 and Llama 4 Mav operate with near-identical performance profiles, tightly tracking each other's metrics and overlapping almost completely on the radar charts. Both show a high vulnerability to retrieval noise and a dangerous tendency to over-classify compliance.</w:t>
      </w:r>
    </w:p>
    <w:p w14:paraId="45F6D057" w14:textId="77777777" w:rsidR="000109B1" w:rsidRDefault="00000000">
      <w:pPr>
        <w:numPr>
          <w:ilvl w:val="0"/>
          <w:numId w:val="18"/>
        </w:numPr>
        <w:spacing w:line="240" w:lineRule="auto"/>
      </w:pPr>
      <w:r>
        <w:rPr>
          <w:rFonts w:ascii="Times New Roman" w:eastAsia="Times New Roman" w:hAnsi="Times New Roman" w:cs="Times New Roman"/>
          <w:b/>
          <w:bCs/>
        </w:rPr>
        <w:t>Macro Performance:</w:t>
      </w:r>
      <w:r>
        <w:rPr>
          <w:rFonts w:ascii="Times New Roman" w:eastAsia="Times New Roman" w:hAnsi="Times New Roman" w:cs="Times New Roman"/>
        </w:rPr>
        <w:t xml:space="preserve"> Both models lag behind Anthropic by roughly 6–8% across the board. From the Dept of Education paper evaluation, GPT 4.1 has an Overall RAG score of 0.758 and Llama 4 Mav with a score of 0.760. These Overall RAG scores are essentially bottlenecked by poor Evidence Relevance (0.556 and 0.553 respectfully).</w:t>
      </w:r>
    </w:p>
    <w:p w14:paraId="28A36AE8" w14:textId="77777777" w:rsidR="000109B1" w:rsidRDefault="00000000">
      <w:pPr>
        <w:numPr>
          <w:ilvl w:val="0"/>
          <w:numId w:val="18"/>
        </w:numPr>
        <w:spacing w:line="240" w:lineRule="auto"/>
      </w:pPr>
      <w:r>
        <w:rPr>
          <w:rFonts w:ascii="Times New Roman" w:eastAsia="Times New Roman" w:hAnsi="Times New Roman" w:cs="Times New Roman"/>
          <w:b/>
          <w:bCs/>
        </w:rPr>
        <w:t>Sensitivity to Data Environment:</w:t>
      </w:r>
      <w:r>
        <w:rPr>
          <w:rFonts w:ascii="Times New Roman" w:eastAsia="Times New Roman" w:hAnsi="Times New Roman" w:cs="Times New Roman"/>
        </w:rPr>
        <w:t xml:space="preserve"> The histograms show that these two models completely lose structural stability when an indexing environment is messy. In the Dept of Education evaluation, their relevance distributions flatten into volatile, bimodal shapes with massive sub-clusters down near the 0.2–0.4 range. In the Scott &amp; Scott evaluation, the indexing environment stabilizes and the scores tighten into cleaner distributions with means rising back up to 0.625 and 0.620.</w:t>
      </w:r>
    </w:p>
    <w:p w14:paraId="204913D6" w14:textId="77777777" w:rsidR="000109B1" w:rsidRDefault="00000000">
      <w:pPr>
        <w:numPr>
          <w:ilvl w:val="0"/>
          <w:numId w:val="18"/>
        </w:numPr>
        <w:spacing w:after="240" w:line="240" w:lineRule="auto"/>
      </w:pPr>
      <w:r>
        <w:rPr>
          <w:rFonts w:ascii="Times New Roman" w:eastAsia="Times New Roman" w:hAnsi="Times New Roman" w:cs="Times New Roman"/>
          <w:b/>
          <w:bCs/>
        </w:rPr>
        <w:t>Maturity Classification Behavior:</w:t>
      </w:r>
      <w:r>
        <w:rPr>
          <w:rFonts w:ascii="Times New Roman" w:eastAsia="Times New Roman" w:hAnsi="Times New Roman" w:cs="Times New Roman"/>
        </w:rPr>
        <w:t xml:space="preserve"> The maturity bar charts reveal an alarming compliance risk: systemic over-confidence. Despite the histograms proving that GPT 4.1 and Llama 4 Mav are flooded with low-relevance retrieval chunks scoring below 0.4, both models overwhelmingly assign controls to 2 (Defined) and 3 (Managed). They almost completely refuse to assign a 0 (None) or 1 (Ad-hoc) score. This shows both architectures actively hallucinate compliance and generate false positives when given weak evidence.</w:t>
      </w:r>
    </w:p>
    <w:p w14:paraId="2E8AAC25" w14:textId="77777777" w:rsidR="000109B1" w:rsidRDefault="00000000">
      <w:pPr>
        <w:spacing w:after="80" w:line="240" w:lineRule="auto"/>
        <w:rPr>
          <w:rFonts w:ascii="Times New Roman" w:eastAsia="Times New Roman" w:hAnsi="Times New Roman" w:cs="Times New Roman"/>
        </w:rPr>
      </w:pPr>
      <w:r>
        <w:rPr>
          <w:rFonts w:ascii="Times New Roman" w:eastAsia="Times New Roman" w:hAnsi="Times New Roman" w:cs="Times New Roman"/>
        </w:rPr>
        <w:t>4.3 Strategic Architecture Summary</w:t>
      </w:r>
    </w:p>
    <w:p w14:paraId="18FAD226" w14:textId="77777777" w:rsidR="000109B1" w:rsidRDefault="00000000">
      <w:pPr>
        <w:numPr>
          <w:ilvl w:val="0"/>
          <w:numId w:val="9"/>
        </w:numPr>
        <w:spacing w:line="240" w:lineRule="auto"/>
      </w:pPr>
      <w:r>
        <w:rPr>
          <w:rFonts w:ascii="Times New Roman" w:eastAsia="Times New Roman" w:hAnsi="Times New Roman" w:cs="Times New Roman"/>
          <w:b/>
          <w:bCs/>
        </w:rPr>
        <w:t>Anthropic</w:t>
      </w:r>
      <w:r>
        <w:rPr>
          <w:rFonts w:ascii="Times New Roman" w:eastAsia="Times New Roman" w:hAnsi="Times New Roman" w:cs="Times New Roman"/>
        </w:rPr>
        <w:t xml:space="preserve"> is the more confident choice for the base LLM in the GRC tool development due to its high reasoning baseline and safe, conservative error-handling when documentation is missing or poor, reducing the chance of false positives and/or hallucinations</w:t>
      </w:r>
    </w:p>
    <w:p w14:paraId="695CB2F3" w14:textId="77777777" w:rsidR="000109B1" w:rsidRDefault="00000000">
      <w:pPr>
        <w:numPr>
          <w:ilvl w:val="0"/>
          <w:numId w:val="9"/>
        </w:numPr>
        <w:spacing w:after="240" w:line="240" w:lineRule="auto"/>
      </w:pPr>
      <w:r>
        <w:rPr>
          <w:rFonts w:ascii="Times New Roman" w:eastAsia="Times New Roman" w:hAnsi="Times New Roman" w:cs="Times New Roman"/>
          <w:b/>
          <w:bCs/>
        </w:rPr>
        <w:t>GPT 4.1 and Llama 4 Mav</w:t>
      </w:r>
      <w:r>
        <w:rPr>
          <w:rFonts w:ascii="Times New Roman" w:eastAsia="Times New Roman" w:hAnsi="Times New Roman" w:cs="Times New Roman"/>
        </w:rPr>
        <w:t xml:space="preserve"> require a highly optimized, clean upstream retrieval system to perform adequately. If deployed in a noisy data environment, their combined traits of low retrieval resilience and over-confident maturity labeling present a severe liability for automated compliance tracking.</w:t>
      </w:r>
    </w:p>
    <w:p w14:paraId="244A087E" w14:textId="77777777" w:rsidR="000109B1" w:rsidRDefault="00000000">
      <w:pPr>
        <w:spacing w:after="240" w:line="240" w:lineRule="auto"/>
        <w:rPr>
          <w:rFonts w:ascii="Times New Roman" w:eastAsia="Times New Roman" w:hAnsi="Times New Roman" w:cs="Times New Roman"/>
          <w:u w:val="single"/>
        </w:rPr>
      </w:pPr>
      <w:r>
        <w:rPr>
          <w:rFonts w:ascii="Times New Roman" w:eastAsia="Times New Roman" w:hAnsi="Times New Roman" w:cs="Times New Roman"/>
          <w:u w:val="single"/>
        </w:rPr>
        <w:t>5. Hallucinations</w:t>
      </w:r>
    </w:p>
    <w:p w14:paraId="4734990C"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The active system uses an automated, LLM-driven (LLM-as-a-judge) pipeline to evaluate the collected framework GRC reports across two different papers using three different base LLMs. It isolates hallucinations by breaking the generated output into atomic claims and checking if they are supported, neutral, or contradicted by the retrieved context. It also identifies logic-level "compliance hallucinations" when a model outputs a high maturity score despite poor retrieval quality.</w:t>
      </w:r>
    </w:p>
    <w:p w14:paraId="47E041F1"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lastRenderedPageBreak/>
        <w:t>To detect and measure hallucinations within this evaluation framework, the analysis relies on a multi-layered combination of continuous distance metrics, semantic similarity evaluation, and cross-metric validation steps:</w:t>
      </w:r>
    </w:p>
    <w:p w14:paraId="014E9990" w14:textId="77777777" w:rsidR="000109B1" w:rsidRDefault="00000000">
      <w:pPr>
        <w:numPr>
          <w:ilvl w:val="0"/>
          <w:numId w:val="6"/>
        </w:numPr>
      </w:pPr>
      <w:r>
        <w:rPr>
          <w:rFonts w:ascii="Times New Roman" w:eastAsia="Times New Roman" w:hAnsi="Times New Roman" w:cs="Times New Roman"/>
          <w:b/>
          <w:bCs/>
        </w:rPr>
        <w:t xml:space="preserve">Evidence </w:t>
      </w:r>
      <w:proofErr w:type="spellStart"/>
      <w:r>
        <w:rPr>
          <w:rFonts w:ascii="Times New Roman" w:eastAsia="Times New Roman" w:hAnsi="Times New Roman" w:cs="Times New Roman"/>
          <w:b/>
          <w:bCs/>
        </w:rPr>
        <w:t>Groundedness</w:t>
      </w:r>
      <w:proofErr w:type="spellEnd"/>
      <w:r>
        <w:rPr>
          <w:rFonts w:ascii="Times New Roman" w:eastAsia="Times New Roman" w:hAnsi="Times New Roman" w:cs="Times New Roman"/>
          <w:b/>
          <w:bCs/>
        </w:rPr>
        <w:t xml:space="preserve"> (NLI/Entailment):</w:t>
      </w:r>
      <w:r>
        <w:rPr>
          <w:rFonts w:ascii="Times New Roman" w:eastAsia="Times New Roman" w:hAnsi="Times New Roman" w:cs="Times New Roman"/>
        </w:rPr>
        <w:t xml:space="preserve"> This metric directly measures factual alignment by treating the source text (chosen papers) as the premise and the model's generated response as the hypothesis. It calculates whether the response is fully supported by, neutral to, or contradicts the source text, serving as the primary guardrail against absolute fabrications.</w:t>
      </w:r>
    </w:p>
    <w:p w14:paraId="3F65E914" w14:textId="77777777" w:rsidR="000109B1" w:rsidRDefault="00000000">
      <w:pPr>
        <w:numPr>
          <w:ilvl w:val="0"/>
          <w:numId w:val="6"/>
        </w:numPr>
      </w:pPr>
      <w:r>
        <w:rPr>
          <w:rFonts w:ascii="Times New Roman" w:eastAsia="Times New Roman" w:hAnsi="Times New Roman" w:cs="Times New Roman"/>
          <w:b/>
          <w:bCs/>
        </w:rPr>
        <w:t>Faithfulness (Factual Consistency):</w:t>
      </w:r>
      <w:r>
        <w:rPr>
          <w:rFonts w:ascii="Times New Roman" w:eastAsia="Times New Roman" w:hAnsi="Times New Roman" w:cs="Times New Roman"/>
        </w:rPr>
        <w:t xml:space="preserve"> This metric checks if the model introduced any outside information or made-up facts. It does this by breaking the model's answer into individual factual statements and checking each one directly against the provided source papers.</w:t>
      </w:r>
    </w:p>
    <w:p w14:paraId="43AB6DD9" w14:textId="77777777" w:rsidR="000109B1" w:rsidRDefault="00000000">
      <w:pPr>
        <w:numPr>
          <w:ilvl w:val="0"/>
          <w:numId w:val="6"/>
        </w:numPr>
      </w:pPr>
      <w:r>
        <w:rPr>
          <w:rFonts w:ascii="Times New Roman" w:eastAsia="Times New Roman" w:hAnsi="Times New Roman" w:cs="Times New Roman"/>
          <w:b/>
          <w:bCs/>
        </w:rPr>
        <w:t>Evidence Relevance vs. Maturity Classification Auditing:</w:t>
      </w:r>
      <w:r>
        <w:rPr>
          <w:rFonts w:ascii="Times New Roman" w:eastAsia="Times New Roman" w:hAnsi="Times New Roman" w:cs="Times New Roman"/>
        </w:rPr>
        <w:t xml:space="preserve"> This step detects hallucinations by comparing evidence quality against the model's passing grades. If the retrieved source text is poor or off-topic, but the model still gives a high compliance score, the system flags it as a made-up passing grade.</w:t>
      </w:r>
    </w:p>
    <w:p w14:paraId="22A1EB03" w14:textId="77777777" w:rsidR="000109B1" w:rsidRDefault="00000000">
      <w:pPr>
        <w:numPr>
          <w:ilvl w:val="0"/>
          <w:numId w:val="6"/>
        </w:numPr>
        <w:spacing w:after="240"/>
      </w:pPr>
      <w:r>
        <w:rPr>
          <w:rFonts w:ascii="Times New Roman" w:eastAsia="Times New Roman" w:hAnsi="Times New Roman" w:cs="Times New Roman"/>
          <w:b/>
          <w:bCs/>
        </w:rPr>
        <w:t>Cross-Metric Delta Verification:</w:t>
      </w:r>
      <w:r>
        <w:rPr>
          <w:rFonts w:ascii="Times New Roman" w:eastAsia="Times New Roman" w:hAnsi="Times New Roman" w:cs="Times New Roman"/>
        </w:rPr>
        <w:t xml:space="preserve"> The pipeline analyzes the divergence between Evidence Relevance and Faithfulness. A significant negative delta (high faithfulness but low relevance) proves that while the model is technically "faithful" to the text it was given, it is hallucinating a broader compliance structure because the text itself does not address the control.</w:t>
      </w:r>
    </w:p>
    <w:p w14:paraId="38C18903"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This analysis is entirely automated and LLM-driven (meaning a computer program uses an AI "judge" to grade the other AIs). There is no human reading through the answers to find mistakes.</w:t>
      </w:r>
    </w:p>
    <w:p w14:paraId="73B21765"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The system catches and measures hallucinations using two main automated steps:</w:t>
      </w:r>
    </w:p>
    <w:p w14:paraId="12387FB2"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1. Breaking Down and Fact-Checking Sentences</w:t>
      </w:r>
    </w:p>
    <w:p w14:paraId="1C8788D6"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To measure Faithfulness and </w:t>
      </w:r>
      <w:proofErr w:type="spellStart"/>
      <w:r>
        <w:rPr>
          <w:rFonts w:ascii="Times New Roman" w:eastAsia="Times New Roman" w:hAnsi="Times New Roman" w:cs="Times New Roman"/>
        </w:rPr>
        <w:t>Groundedness</w:t>
      </w:r>
      <w:proofErr w:type="spellEnd"/>
      <w:r>
        <w:rPr>
          <w:rFonts w:ascii="Times New Roman" w:eastAsia="Times New Roman" w:hAnsi="Times New Roman" w:cs="Times New Roman"/>
        </w:rPr>
        <w:t>, the AI judge uses a simple math formula:</w:t>
      </w:r>
    </w:p>
    <w:p w14:paraId="169943ED" w14:textId="77777777" w:rsidR="000109B1" w:rsidRDefault="00000000">
      <w:pPr>
        <w:numPr>
          <w:ilvl w:val="0"/>
          <w:numId w:val="11"/>
        </w:numPr>
      </w:pPr>
      <w:r>
        <w:rPr>
          <w:rFonts w:ascii="Times New Roman" w:eastAsia="Times New Roman" w:hAnsi="Times New Roman" w:cs="Times New Roman"/>
          <w:b/>
          <w:bCs/>
        </w:rPr>
        <w:t>Step A (Extract):</w:t>
      </w:r>
      <w:r>
        <w:rPr>
          <w:rFonts w:ascii="Times New Roman" w:eastAsia="Times New Roman" w:hAnsi="Times New Roman" w:cs="Times New Roman"/>
        </w:rPr>
        <w:t xml:space="preserve"> The judge takes the model's answer and breaks it down into a list of </w:t>
      </w:r>
      <w:proofErr w:type="gramStart"/>
      <w:r>
        <w:rPr>
          <w:rFonts w:ascii="Times New Roman" w:eastAsia="Times New Roman" w:hAnsi="Times New Roman" w:cs="Times New Roman"/>
        </w:rPr>
        <w:t>individual</w:t>
      </w:r>
      <w:proofErr w:type="gramEnd"/>
      <w:r>
        <w:rPr>
          <w:rFonts w:ascii="Times New Roman" w:eastAsia="Times New Roman" w:hAnsi="Times New Roman" w:cs="Times New Roman"/>
        </w:rPr>
        <w:t>, single-fact statements.</w:t>
      </w:r>
    </w:p>
    <w:p w14:paraId="10CF87D5" w14:textId="77777777" w:rsidR="000109B1" w:rsidRDefault="00000000">
      <w:pPr>
        <w:numPr>
          <w:ilvl w:val="0"/>
          <w:numId w:val="11"/>
        </w:numPr>
      </w:pPr>
      <w:r>
        <w:rPr>
          <w:rFonts w:ascii="Times New Roman" w:eastAsia="Times New Roman" w:hAnsi="Times New Roman" w:cs="Times New Roman"/>
          <w:b/>
          <w:bCs/>
        </w:rPr>
        <w:t>Step B (Check):</w:t>
      </w:r>
      <w:r>
        <w:rPr>
          <w:rFonts w:ascii="Times New Roman" w:eastAsia="Times New Roman" w:hAnsi="Times New Roman" w:cs="Times New Roman"/>
        </w:rPr>
        <w:t xml:space="preserve"> The judge looks at the retrieved documents and checks every single statement one by one. It marks each fact as either Supported (true according to the document) or Not Supported (made up).</w:t>
      </w:r>
    </w:p>
    <w:p w14:paraId="049ABAB8" w14:textId="77777777" w:rsidR="000109B1" w:rsidRDefault="00000000">
      <w:pPr>
        <w:numPr>
          <w:ilvl w:val="0"/>
          <w:numId w:val="11"/>
        </w:numPr>
        <w:spacing w:after="240"/>
      </w:pPr>
      <w:r>
        <w:rPr>
          <w:rFonts w:ascii="Times New Roman" w:eastAsia="Times New Roman" w:hAnsi="Times New Roman" w:cs="Times New Roman"/>
          <w:b/>
          <w:bCs/>
        </w:rPr>
        <w:t>Step C (Score):</w:t>
      </w:r>
      <w:r>
        <w:rPr>
          <w:rFonts w:ascii="Times New Roman" w:eastAsia="Times New Roman" w:hAnsi="Times New Roman" w:cs="Times New Roman"/>
        </w:rPr>
        <w:t xml:space="preserve"> It calculates a final score based on the percentage of true facts. If a model makes 10 claims and 2 are invented, its score is 80%.</w:t>
      </w:r>
    </w:p>
    <w:p w14:paraId="3EF9CB22"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2. Catching "Faking It" with Math</w:t>
      </w:r>
    </w:p>
    <w:p w14:paraId="0FF2AA3A"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The system also catches a specific type of hallucination called over-confidence without even reading the text:</w:t>
      </w:r>
    </w:p>
    <w:p w14:paraId="6B79227F" w14:textId="77777777" w:rsidR="000109B1"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rPr>
        <w:t>The system looks at the quality of the evidence retrieved.</w:t>
      </w:r>
    </w:p>
    <w:p w14:paraId="212D6184" w14:textId="77777777" w:rsidR="000109B1"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rPr>
        <w:t>If the evidence quality is very low or completely irrelevant, the model should say "I don't know" or give a failing compliance score.</w:t>
      </w:r>
    </w:p>
    <w:p w14:paraId="6502D6B3" w14:textId="77777777" w:rsidR="000109B1" w:rsidRDefault="00000000">
      <w:pPr>
        <w:numPr>
          <w:ilvl w:val="0"/>
          <w:numId w:val="19"/>
        </w:numPr>
        <w:spacing w:after="240"/>
        <w:rPr>
          <w:rFonts w:ascii="Times New Roman" w:eastAsia="Times New Roman" w:hAnsi="Times New Roman" w:cs="Times New Roman"/>
        </w:rPr>
      </w:pPr>
      <w:r>
        <w:rPr>
          <w:rFonts w:ascii="Times New Roman" w:eastAsia="Times New Roman" w:hAnsi="Times New Roman" w:cs="Times New Roman"/>
        </w:rPr>
        <w:lastRenderedPageBreak/>
        <w:t>If the model instead gives a high, confident passing grade despite having terrible evidence, the system automatically flags a compliance hallucination.</w:t>
      </w:r>
    </w:p>
    <w:p w14:paraId="38F37163" w14:textId="77777777" w:rsidR="000109B1" w:rsidRDefault="00000000">
      <w:pPr>
        <w:spacing w:after="240"/>
        <w:rPr>
          <w:rFonts w:ascii="Times New Roman" w:eastAsia="Times New Roman" w:hAnsi="Times New Roman" w:cs="Times New Roman"/>
          <w:u w:val="single"/>
        </w:rPr>
      </w:pPr>
      <w:r>
        <w:rPr>
          <w:rFonts w:ascii="Times New Roman" w:eastAsia="Times New Roman" w:hAnsi="Times New Roman" w:cs="Times New Roman"/>
          <w:u w:val="single"/>
        </w:rPr>
        <w:t>6. Alternative Hallucination Detection and Measurement</w:t>
      </w:r>
    </w:p>
    <w:p w14:paraId="6E51AD11"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Using LLM-as-judge can lead to potential bias or misrepresentation or calculation of evidence even with well detailed prompts and supporting analysis code. It can also have runtime effectiveness cost and high computation needs along with actual material cost. One alternative approach is to use a collection of non-generative LLM hallucination metric analysis methods.</w:t>
      </w:r>
    </w:p>
    <w:p w14:paraId="4E6957AA"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To create an alternative evaluation pipeline, we created a multi-tiered pipeline combining Natural Language Inference (NLI) Cross-Encoders, Dense Vector Embeddings (Cosine Distance), and Named Entity Recognition (NER) Index Auditing.</w:t>
      </w:r>
    </w:p>
    <w:p w14:paraId="3A550394"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6.1 Diagnostic Methodology &amp; Operational Metrics</w:t>
      </w:r>
    </w:p>
    <w:p w14:paraId="6A77110A"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The metrics the deterministic code pipeline determines by comparing the GRC framework report against the original corresponding paper text are as follows:</w:t>
      </w:r>
    </w:p>
    <w:p w14:paraId="74D5A963" w14:textId="77777777" w:rsidR="000109B1" w:rsidRDefault="00000000">
      <w:pPr>
        <w:numPr>
          <w:ilvl w:val="0"/>
          <w:numId w:val="4"/>
        </w:numPr>
      </w:pPr>
      <w:r>
        <w:rPr>
          <w:rFonts w:ascii="Times New Roman" w:eastAsia="Times New Roman" w:hAnsi="Times New Roman" w:cs="Times New Roman"/>
          <w:b/>
          <w:bCs/>
        </w:rPr>
        <w:t>Overall Hallucination % (0.00 – 1.00):</w:t>
      </w:r>
      <w:r>
        <w:rPr>
          <w:rFonts w:ascii="Times New Roman" w:eastAsia="Times New Roman" w:hAnsi="Times New Roman" w:cs="Times New Roman"/>
        </w:rPr>
        <w:t xml:space="preserve"> Measures the proportion of evaluated control rationales in a given run classified as hallucinations by calculating the population mean where Unfaithfulness Risk exceeds 0.50.</w:t>
      </w:r>
    </w:p>
    <w:p w14:paraId="43D0255D" w14:textId="77777777" w:rsidR="000109B1" w:rsidRDefault="00000000">
      <w:pPr>
        <w:numPr>
          <w:ilvl w:val="0"/>
          <w:numId w:val="4"/>
        </w:numPr>
      </w:pPr>
      <w:r>
        <w:rPr>
          <w:rFonts w:ascii="Times New Roman" w:eastAsia="Times New Roman" w:hAnsi="Times New Roman" w:cs="Times New Roman"/>
          <w:b/>
          <w:bCs/>
        </w:rPr>
        <w:t>Unfaithfulness Risk (0.00 – 1.00):</w:t>
      </w:r>
      <w:r>
        <w:rPr>
          <w:rFonts w:ascii="Times New Roman" w:eastAsia="Times New Roman" w:hAnsi="Times New Roman" w:cs="Times New Roman"/>
        </w:rPr>
        <w:t xml:space="preserve"> Measures sequence-level non-entailment using a DeBERTa-v3 NLI Cross-Encoder (1.0 - </w:t>
      </w:r>
      <w:proofErr w:type="spellStart"/>
      <w:r>
        <w:rPr>
          <w:rFonts w:ascii="Times New Roman" w:eastAsia="Times New Roman" w:hAnsi="Times New Roman" w:cs="Times New Roman"/>
        </w:rPr>
        <w:t>entailment_probability</w:t>
      </w:r>
      <w:proofErr w:type="spellEnd"/>
      <w:r>
        <w:rPr>
          <w:rFonts w:ascii="Times New Roman" w:eastAsia="Times New Roman" w:hAnsi="Times New Roman" w:cs="Times New Roman"/>
        </w:rPr>
        <w:t>) to quantify the probability that a generated rationale contains ungrounded claims relative to the cited evidence snippet.</w:t>
      </w:r>
    </w:p>
    <w:p w14:paraId="233637EE" w14:textId="77777777" w:rsidR="000109B1" w:rsidRDefault="00000000">
      <w:pPr>
        <w:numPr>
          <w:ilvl w:val="0"/>
          <w:numId w:val="4"/>
        </w:numPr>
      </w:pPr>
      <w:r>
        <w:rPr>
          <w:rFonts w:ascii="Times New Roman" w:eastAsia="Times New Roman" w:hAnsi="Times New Roman" w:cs="Times New Roman"/>
          <w:b/>
          <w:bCs/>
        </w:rPr>
        <w:t>Direct Contradiction Prob (0.00 – 1.00):</w:t>
      </w:r>
      <w:r>
        <w:rPr>
          <w:rFonts w:ascii="Times New Roman" w:eastAsia="Times New Roman" w:hAnsi="Times New Roman" w:cs="Times New Roman"/>
        </w:rPr>
        <w:t xml:space="preserve"> Measures the exact probability that a generated score rationale actively refutes or contradicts the source evidence text.</w:t>
      </w:r>
    </w:p>
    <w:p w14:paraId="720C6273" w14:textId="77777777" w:rsidR="000109B1" w:rsidRDefault="00000000">
      <w:pPr>
        <w:numPr>
          <w:ilvl w:val="0"/>
          <w:numId w:val="4"/>
        </w:numPr>
      </w:pPr>
      <w:r>
        <w:rPr>
          <w:rFonts w:ascii="Times New Roman" w:eastAsia="Times New Roman" w:hAnsi="Times New Roman" w:cs="Times New Roman"/>
          <w:b/>
          <w:bCs/>
        </w:rPr>
        <w:t>Semantic Drift Risk (0.00 – 1.00):</w:t>
      </w:r>
      <w:r>
        <w:rPr>
          <w:rFonts w:ascii="Times New Roman" w:eastAsia="Times New Roman" w:hAnsi="Times New Roman" w:cs="Times New Roman"/>
        </w:rPr>
        <w:t xml:space="preserve"> Measures global conceptual divergence by encoding both texts with MiniLM-L6 and calculating vector cosine distance (1.0 - </w:t>
      </w:r>
      <w:proofErr w:type="spellStart"/>
      <w:r>
        <w:rPr>
          <w:rFonts w:ascii="Times New Roman" w:eastAsia="Times New Roman" w:hAnsi="Times New Roman" w:cs="Times New Roman"/>
        </w:rPr>
        <w:t>cosine_similarity</w:t>
      </w:r>
      <w:proofErr w:type="spellEnd"/>
      <w:r>
        <w:rPr>
          <w:rFonts w:ascii="Times New Roman" w:eastAsia="Times New Roman" w:hAnsi="Times New Roman" w:cs="Times New Roman"/>
        </w:rPr>
        <w:t>) between the source evidence and generated rationale.</w:t>
      </w:r>
    </w:p>
    <w:p w14:paraId="6029D06F" w14:textId="77777777" w:rsidR="000109B1" w:rsidRDefault="00000000">
      <w:pPr>
        <w:numPr>
          <w:ilvl w:val="0"/>
          <w:numId w:val="4"/>
        </w:numPr>
        <w:spacing w:after="240"/>
      </w:pPr>
      <w:r>
        <w:rPr>
          <w:rFonts w:ascii="Times New Roman" w:eastAsia="Times New Roman" w:hAnsi="Times New Roman" w:cs="Times New Roman"/>
          <w:b/>
          <w:bCs/>
        </w:rPr>
        <w:t>Fabricated Entities Count (Integer Count):</w:t>
      </w:r>
      <w:r>
        <w:rPr>
          <w:rFonts w:ascii="Times New Roman" w:eastAsia="Times New Roman" w:hAnsi="Times New Roman" w:cs="Times New Roman"/>
        </w:rPr>
        <w:t xml:space="preserve"> Measures the total volume of invented named entities, technical frameworks, vendor names, or control codes (e.g., ID.AM-1) in the rationale by using </w:t>
      </w:r>
      <w:proofErr w:type="spellStart"/>
      <w:r>
        <w:rPr>
          <w:rFonts w:ascii="Times New Roman" w:eastAsia="Times New Roman" w:hAnsi="Times New Roman" w:cs="Times New Roman"/>
        </w:rPr>
        <w:t>spaCy</w:t>
      </w:r>
      <w:proofErr w:type="spellEnd"/>
      <w:r>
        <w:rPr>
          <w:rFonts w:ascii="Times New Roman" w:eastAsia="Times New Roman" w:hAnsi="Times New Roman" w:cs="Times New Roman"/>
        </w:rPr>
        <w:t xml:space="preserve"> NER and regex matching to flag terms absent from the source document.</w:t>
      </w:r>
    </w:p>
    <w:p w14:paraId="3F2E1980"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6.2 Alternative Analysis Results</w:t>
      </w:r>
    </w:p>
    <w:p w14:paraId="669521E8"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The metrics across the test corpora (</w:t>
      </w:r>
      <w:proofErr w:type="spellStart"/>
      <w:r>
        <w:rPr>
          <w:rFonts w:ascii="Times New Roman" w:eastAsia="Times New Roman" w:hAnsi="Times New Roman" w:cs="Times New Roman"/>
        </w:rPr>
        <w:t>DeptEduc</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Scott&amp;Scott</w:t>
      </w:r>
      <w:proofErr w:type="spellEnd"/>
      <w:r>
        <w:rPr>
          <w:rFonts w:ascii="Times New Roman" w:eastAsia="Times New Roman" w:hAnsi="Times New Roman" w:cs="Times New Roman"/>
        </w:rPr>
        <w:t>) reveal behavioral trends across the different base LLM architectures analyzed using the alternative NLI pipeline:</w:t>
      </w:r>
    </w:p>
    <w:tbl>
      <w:tblPr>
        <w:tblStyle w:val="a0"/>
        <w:tblW w:w="9375" w:type="dxa"/>
        <w:tblInd w:w="0" w:type="dxa"/>
        <w:tblLayout w:type="fixed"/>
        <w:tblLook w:val="0600" w:firstRow="0" w:lastRow="0" w:firstColumn="0" w:lastColumn="0" w:noHBand="1" w:noVBand="1"/>
      </w:tblPr>
      <w:tblGrid>
        <w:gridCol w:w="1590"/>
        <w:gridCol w:w="1455"/>
        <w:gridCol w:w="1410"/>
        <w:gridCol w:w="1965"/>
        <w:gridCol w:w="1740"/>
        <w:gridCol w:w="1215"/>
      </w:tblGrid>
      <w:tr w:rsidR="000109B1" w14:paraId="39FF90D8" w14:textId="77777777">
        <w:trPr>
          <w:trHeight w:val="1095"/>
        </w:trPr>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42BC64" w14:textId="77777777" w:rsidR="000109B1" w:rsidRDefault="00000000">
            <w:pPr>
              <w:spacing w:after="480"/>
              <w:ind w:left="720" w:hanging="36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Run</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420C83"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Overall Hallucination %</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E6E2AB"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Unfaithfulness Risk</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92AC3C"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Direct Contradiction Prob</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66C24"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Semantic Drift Risk</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CF5BBE"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Fabricated Entities Count</w:t>
            </w:r>
          </w:p>
        </w:tc>
      </w:tr>
      <w:tr w:rsidR="000109B1" w14:paraId="0C246EA2" w14:textId="77777777">
        <w:trPr>
          <w:trHeight w:val="540"/>
        </w:trPr>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647C06" w14:textId="77777777" w:rsidR="000109B1" w:rsidRDefault="00000000">
            <w:pPr>
              <w:spacing w:after="480"/>
              <w:rPr>
                <w:rFonts w:ascii="Times New Roman" w:eastAsia="Times New Roman" w:hAnsi="Times New Roman" w:cs="Times New Roman"/>
                <w:sz w:val="18"/>
                <w:szCs w:val="18"/>
              </w:rPr>
            </w:pPr>
            <w:proofErr w:type="spellStart"/>
            <w:r>
              <w:rPr>
                <w:rFonts w:ascii="Times New Roman" w:eastAsia="Times New Roman" w:hAnsi="Times New Roman" w:cs="Times New Roman"/>
                <w:b/>
                <w:bCs/>
                <w:sz w:val="18"/>
                <w:szCs w:val="18"/>
              </w:rPr>
              <w:lastRenderedPageBreak/>
              <w:t>DeptEduc_Anthrop</w:t>
            </w:r>
            <w:proofErr w:type="spellEnd"/>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F6A594"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0.1909</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3B0FD4"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0.1984</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DB3BE3"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0.1352</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9567AE"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0.4339</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B74D7C"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85</w:t>
            </w:r>
          </w:p>
        </w:tc>
      </w:tr>
      <w:tr w:rsidR="000109B1" w14:paraId="3D321CB8" w14:textId="77777777">
        <w:trPr>
          <w:trHeight w:val="540"/>
        </w:trPr>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B4F57F"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DeptEduc_GPT_4.1</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3AEF43"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0.1859</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F9CD5B"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0.1908</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480B2E"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0.0981</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E1A592"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0.4593</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9C548"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26</w:t>
            </w:r>
          </w:p>
        </w:tc>
      </w:tr>
      <w:tr w:rsidR="000109B1" w14:paraId="34181BFB" w14:textId="77777777">
        <w:trPr>
          <w:trHeight w:val="540"/>
        </w:trPr>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849636"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DeptEduc_Llama_4_Mav</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836783"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0.1658</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26FAE3"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0.1789</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739853"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0.1056</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A79B65"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0.4449</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013340"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26</w:t>
            </w:r>
          </w:p>
        </w:tc>
      </w:tr>
      <w:tr w:rsidR="000109B1" w14:paraId="324B2E76" w14:textId="77777777">
        <w:trPr>
          <w:trHeight w:val="540"/>
        </w:trPr>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F63E15" w14:textId="77777777" w:rsidR="000109B1" w:rsidRDefault="00000000">
            <w:pPr>
              <w:spacing w:after="480"/>
              <w:rPr>
                <w:rFonts w:ascii="Times New Roman" w:eastAsia="Times New Roman" w:hAnsi="Times New Roman" w:cs="Times New Roman"/>
                <w:sz w:val="18"/>
                <w:szCs w:val="18"/>
              </w:rPr>
            </w:pPr>
            <w:proofErr w:type="spellStart"/>
            <w:r>
              <w:rPr>
                <w:rFonts w:ascii="Times New Roman" w:eastAsia="Times New Roman" w:hAnsi="Times New Roman" w:cs="Times New Roman"/>
                <w:b/>
                <w:bCs/>
                <w:sz w:val="18"/>
                <w:szCs w:val="18"/>
              </w:rPr>
              <w:t>Scott&amp;Scott_Anthrop</w:t>
            </w:r>
            <w:proofErr w:type="spellEnd"/>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B8738F"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0.1959</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361D2D"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0.1915</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0A1439"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0.1355</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B6B67C"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0.4170</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837C7A"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53</w:t>
            </w:r>
          </w:p>
        </w:tc>
      </w:tr>
      <w:tr w:rsidR="000109B1" w14:paraId="7F185175" w14:textId="77777777">
        <w:trPr>
          <w:trHeight w:val="540"/>
        </w:trPr>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422C0D"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Scott&amp;Scott_GPT_4.1</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A0B7A1"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0.2010</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16B37"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0.1989</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ADAA6"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0.1439</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52D897"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0.4373</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4BDADE"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17</w:t>
            </w:r>
          </w:p>
        </w:tc>
      </w:tr>
      <w:tr w:rsidR="000109B1" w14:paraId="23776592" w14:textId="77777777">
        <w:trPr>
          <w:trHeight w:val="540"/>
        </w:trPr>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F9FB66"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Scott&amp;Scott_Llama_4_Mav</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E68AC"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0.1507</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2688D"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0.1639</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21A96F"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0.1077</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6DFAB8"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0.4370</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380DD5" w14:textId="77777777" w:rsidR="000109B1" w:rsidRDefault="00000000">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r>
    </w:tbl>
    <w:p w14:paraId="36804691" w14:textId="77777777" w:rsidR="000109B1" w:rsidRDefault="000109B1">
      <w:pPr>
        <w:spacing w:after="240"/>
        <w:rPr>
          <w:rFonts w:ascii="Times New Roman" w:eastAsia="Times New Roman" w:hAnsi="Times New Roman" w:cs="Times New Roman"/>
        </w:rPr>
      </w:pPr>
    </w:p>
    <w:p w14:paraId="721FE8D0"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6.3 Metric Interpretation &amp; Architectural Insights</w:t>
      </w:r>
    </w:p>
    <w:p w14:paraId="4D335FFC"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The steps analyze behavioral trends and failure modes across the deterministic evaluation pipeline:</w:t>
      </w:r>
    </w:p>
    <w:p w14:paraId="46F61A18" w14:textId="77777777" w:rsidR="000109B1" w:rsidRDefault="00000000">
      <w:pPr>
        <w:numPr>
          <w:ilvl w:val="0"/>
          <w:numId w:val="12"/>
        </w:numPr>
      </w:pPr>
      <w:r>
        <w:rPr>
          <w:rFonts w:ascii="Times New Roman" w:eastAsia="Times New Roman" w:hAnsi="Times New Roman" w:cs="Times New Roman"/>
          <w:b/>
          <w:bCs/>
        </w:rPr>
        <w:t>Generative Leniency Gap (LLM-as-a-Judge vs. Deterministic NLI):</w:t>
      </w:r>
      <w:r>
        <w:rPr>
          <w:rFonts w:ascii="Times New Roman" w:eastAsia="Times New Roman" w:hAnsi="Times New Roman" w:cs="Times New Roman"/>
        </w:rPr>
        <w:t xml:space="preserve"> This comparison contrasts AI judge scores against sequence-level entailment. The alternative pipeline reveals an Overall Hallucination % tightly clustered between 15.0% and 20.1%. This aligns closely with the hallucination rates typically reported by the generative LLM judge (12% to 25%). The data demonstrates that the alternative NLI pipeline is successfully validating paraphrased, faithful outputs without inflicting an artificial "strictness penalty" for reworded text.</w:t>
      </w:r>
    </w:p>
    <w:p w14:paraId="6A53D27F" w14:textId="77777777" w:rsidR="000109B1" w:rsidRDefault="00000000">
      <w:pPr>
        <w:numPr>
          <w:ilvl w:val="0"/>
          <w:numId w:val="12"/>
        </w:numPr>
      </w:pPr>
      <w:r>
        <w:rPr>
          <w:rFonts w:ascii="Times New Roman" w:eastAsia="Times New Roman" w:hAnsi="Times New Roman" w:cs="Times New Roman"/>
          <w:b/>
          <w:bCs/>
        </w:rPr>
        <w:t>Extrapolative Hallucination Auditing (Fabricated Entities vs. Model Alignment):</w:t>
      </w:r>
      <w:r>
        <w:rPr>
          <w:rFonts w:ascii="Times New Roman" w:eastAsia="Times New Roman" w:hAnsi="Times New Roman" w:cs="Times New Roman"/>
        </w:rPr>
        <w:t xml:space="preserve"> This step isolates entity fabrication by cross-referencing extracted named entities against a normalized source document. Anthropic models produced 3.2 to 3.8 times more fabricated entities (85 in </w:t>
      </w:r>
      <w:proofErr w:type="spellStart"/>
      <w:r>
        <w:rPr>
          <w:rFonts w:ascii="Times New Roman" w:eastAsia="Times New Roman" w:hAnsi="Times New Roman" w:cs="Times New Roman"/>
        </w:rPr>
        <w:t>DeptEduc</w:t>
      </w:r>
      <w:proofErr w:type="spellEnd"/>
      <w:r>
        <w:rPr>
          <w:rFonts w:ascii="Times New Roman" w:eastAsia="Times New Roman" w:hAnsi="Times New Roman" w:cs="Times New Roman"/>
        </w:rPr>
        <w:t xml:space="preserve">, 53 in </w:t>
      </w:r>
      <w:proofErr w:type="spellStart"/>
      <w:r>
        <w:rPr>
          <w:rFonts w:ascii="Times New Roman" w:eastAsia="Times New Roman" w:hAnsi="Times New Roman" w:cs="Times New Roman"/>
        </w:rPr>
        <w:t>Scott&amp;Scott</w:t>
      </w:r>
      <w:proofErr w:type="spellEnd"/>
      <w:r>
        <w:rPr>
          <w:rFonts w:ascii="Times New Roman" w:eastAsia="Times New Roman" w:hAnsi="Times New Roman" w:cs="Times New Roman"/>
        </w:rPr>
        <w:t xml:space="preserve">) than GPT-4.1 and Llama 4 Maverick (17 to 26). This indicates that while Anthropic models provide detailed outputs, they exhibit a significantly higher rate of ungrounded entity generation. This often includes introducing specific names, terms, or identifiers that are not found in the source text. However, it should be noted that more </w:t>
      </w:r>
      <w:r>
        <w:rPr>
          <w:rFonts w:ascii="Times New Roman" w:eastAsia="Times New Roman" w:hAnsi="Times New Roman" w:cs="Times New Roman"/>
        </w:rPr>
        <w:lastRenderedPageBreak/>
        <w:t>hallucinations are detected when LLM output uses alternative but equivalent wording to the source material.</w:t>
      </w:r>
    </w:p>
    <w:p w14:paraId="2CBF52CA" w14:textId="77777777" w:rsidR="000109B1" w:rsidRDefault="00000000">
      <w:pPr>
        <w:numPr>
          <w:ilvl w:val="0"/>
          <w:numId w:val="12"/>
        </w:numPr>
      </w:pPr>
      <w:r>
        <w:rPr>
          <w:rFonts w:ascii="Times New Roman" w:eastAsia="Times New Roman" w:hAnsi="Times New Roman" w:cs="Times New Roman"/>
          <w:b/>
          <w:bCs/>
        </w:rPr>
        <w:t>Unfaithfulness Risk vs. Direct Contradiction Prob:</w:t>
      </w:r>
      <w:r>
        <w:rPr>
          <w:rFonts w:ascii="Times New Roman" w:eastAsia="Times New Roman" w:hAnsi="Times New Roman" w:cs="Times New Roman"/>
        </w:rPr>
        <w:t xml:space="preserve"> This diagnostic evaluates the mechanism of hallucination by measuring the delta between non-entailment and explicit opposition. Across all runs, Direct Contradiction Prob remains low (9.8% – 14.3%). On the other hand, Unfaithfulness Risk also remains low (16.3% – 19.8%). These findings strongly indicate that the base models are generally highly faithful to the source text, maintaining strong grounding in the provided context rather than relying on massive ungrounded assumptions or direct refutations.</w:t>
      </w:r>
    </w:p>
    <w:p w14:paraId="42D7E480" w14:textId="77777777" w:rsidR="000109B1" w:rsidRDefault="00000000">
      <w:pPr>
        <w:numPr>
          <w:ilvl w:val="0"/>
          <w:numId w:val="12"/>
        </w:numPr>
      </w:pPr>
      <w:r>
        <w:rPr>
          <w:rFonts w:ascii="Times New Roman" w:eastAsia="Times New Roman" w:hAnsi="Times New Roman" w:cs="Times New Roman"/>
          <w:b/>
          <w:bCs/>
        </w:rPr>
        <w:t>Document Impact: Government Rules vs. Company Policies:</w:t>
      </w:r>
      <w:r>
        <w:rPr>
          <w:rFonts w:ascii="Times New Roman" w:eastAsia="Times New Roman" w:hAnsi="Times New Roman" w:cs="Times New Roman"/>
        </w:rPr>
        <w:t xml:space="preserve"> This step evaluates whether source document structure affects a model’s ability to output reliable reports. The data reveals no significant statistical divergence between the datasets. Dense regulatory frameworks (</w:t>
      </w:r>
      <w:proofErr w:type="spellStart"/>
      <w:r>
        <w:rPr>
          <w:rFonts w:ascii="Times New Roman" w:eastAsia="Times New Roman" w:hAnsi="Times New Roman" w:cs="Times New Roman"/>
        </w:rPr>
        <w:t>DeptEduc</w:t>
      </w:r>
      <w:proofErr w:type="spellEnd"/>
      <w:r>
        <w:rPr>
          <w:rFonts w:ascii="Times New Roman" w:eastAsia="Times New Roman" w:hAnsi="Times New Roman" w:cs="Times New Roman"/>
        </w:rPr>
        <w:t>) yielded Direct Contradiction Prob (9.8% – 13.5%) and Unfaithfulness Risk (17.8% – 19.8%) that mirror those of the looser corporate policies (</w:t>
      </w:r>
      <w:proofErr w:type="spellStart"/>
      <w:r>
        <w:rPr>
          <w:rFonts w:ascii="Times New Roman" w:eastAsia="Times New Roman" w:hAnsi="Times New Roman" w:cs="Times New Roman"/>
        </w:rPr>
        <w:t>Scott&amp;Scott</w:t>
      </w:r>
      <w:proofErr w:type="spellEnd"/>
      <w:r>
        <w:rPr>
          <w:rFonts w:ascii="Times New Roman" w:eastAsia="Times New Roman" w:hAnsi="Times New Roman" w:cs="Times New Roman"/>
        </w:rPr>
        <w:t>) (10.7% – 14.3% Contradiction; 16.3% – 19.8% Unfaithfulness). This uniformity shows that the models maintain consistent behavioral stability regardless of the strictness or looseness of the underlying policy text.</w:t>
      </w:r>
    </w:p>
    <w:p w14:paraId="6F65E986" w14:textId="77777777" w:rsidR="000109B1" w:rsidRDefault="00000000">
      <w:pPr>
        <w:numPr>
          <w:ilvl w:val="0"/>
          <w:numId w:val="12"/>
        </w:numPr>
        <w:spacing w:after="240"/>
      </w:pPr>
      <w:r>
        <w:rPr>
          <w:rFonts w:ascii="Times New Roman" w:eastAsia="Times New Roman" w:hAnsi="Times New Roman" w:cs="Times New Roman"/>
          <w:b/>
          <w:bCs/>
        </w:rPr>
        <w:t>Going Vs. Staying on Topic:</w:t>
      </w:r>
      <w:r>
        <w:rPr>
          <w:rFonts w:ascii="Times New Roman" w:eastAsia="Times New Roman" w:hAnsi="Times New Roman" w:cs="Times New Roman"/>
        </w:rPr>
        <w:t xml:space="preserve"> This metric measures global conceptual divergence to verify whether hallucinations cause domain derailment. Across all architectures and datasets, Semantic Drift Risk remains tightly bounded between 0.4170 and 0.4593. This consistency suggests that base LLMs maintain strong macro-level topic alignment, and that compliance evaluation failure occurs almost exclusively at the micro-factual sequence and entity level.</w:t>
      </w:r>
    </w:p>
    <w:p w14:paraId="33BCB084"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6.4 Architectural Conclusions</w:t>
      </w:r>
    </w:p>
    <w:p w14:paraId="68CC9516"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Several key architectural tradeoffs across the three model bases were found when analyzing the metrics gathered from both the LLM-as-judge approach and the non-LLM alternate analysis approach:</w:t>
      </w:r>
    </w:p>
    <w:p w14:paraId="0B8064BB"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Anthropic (Conservative)</w:t>
      </w:r>
    </w:p>
    <w:p w14:paraId="57A51773" w14:textId="77777777" w:rsidR="000109B1" w:rsidRDefault="00000000">
      <w:pPr>
        <w:numPr>
          <w:ilvl w:val="0"/>
          <w:numId w:val="2"/>
        </w:numPr>
      </w:pPr>
      <w:r>
        <w:rPr>
          <w:rFonts w:ascii="Times New Roman" w:eastAsia="Times New Roman" w:hAnsi="Times New Roman" w:cs="Times New Roman"/>
          <w:b/>
          <w:bCs/>
        </w:rPr>
        <w:t>Strengths:</w:t>
      </w:r>
      <w:r>
        <w:rPr>
          <w:rFonts w:ascii="Times New Roman" w:eastAsia="Times New Roman" w:hAnsi="Times New Roman" w:cs="Times New Roman"/>
        </w:rPr>
        <w:t xml:space="preserve"> Leads overall RAG quality and Faithfulness. Shows strong risk aversion by assigning low maturity scores when evidence is weak, reducing false positives.</w:t>
      </w:r>
    </w:p>
    <w:p w14:paraId="7381757C" w14:textId="77777777" w:rsidR="000109B1" w:rsidRDefault="00000000">
      <w:pPr>
        <w:numPr>
          <w:ilvl w:val="0"/>
          <w:numId w:val="2"/>
        </w:numPr>
      </w:pPr>
      <w:r>
        <w:rPr>
          <w:rFonts w:ascii="Times New Roman" w:eastAsia="Times New Roman" w:hAnsi="Times New Roman" w:cs="Times New Roman"/>
          <w:b/>
          <w:bCs/>
        </w:rPr>
        <w:t>Deterministic Failure Mode (Extrapolative Fabrication):</w:t>
      </w:r>
      <w:r>
        <w:rPr>
          <w:rFonts w:ascii="Times New Roman" w:eastAsia="Times New Roman" w:hAnsi="Times New Roman" w:cs="Times New Roman"/>
        </w:rPr>
        <w:t xml:space="preserve"> Driven by helpful alignment, it over-specifies by inventing non-existent technical terms, producing 3.2× to 3.8× more fabricated entities (53–85) than peers.</w:t>
      </w:r>
    </w:p>
    <w:p w14:paraId="488506AA" w14:textId="77777777" w:rsidR="000109B1" w:rsidRDefault="00000000">
      <w:pPr>
        <w:numPr>
          <w:ilvl w:val="0"/>
          <w:numId w:val="2"/>
        </w:numPr>
        <w:spacing w:after="240"/>
      </w:pPr>
      <w:r>
        <w:rPr>
          <w:rFonts w:ascii="Times New Roman" w:eastAsia="Times New Roman" w:hAnsi="Times New Roman" w:cs="Times New Roman"/>
          <w:b/>
          <w:bCs/>
        </w:rPr>
        <w:t>Verdict:</w:t>
      </w:r>
      <w:r>
        <w:rPr>
          <w:rFonts w:ascii="Times New Roman" w:eastAsia="Times New Roman" w:hAnsi="Times New Roman" w:cs="Times New Roman"/>
        </w:rPr>
        <w:t xml:space="preserve"> The best base LLM for GRC tools, but some safe checks need to be put into place to ensure context is not being misrepresented.</w:t>
      </w:r>
    </w:p>
    <w:p w14:paraId="325D81E6"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GPT-4.1 &amp; Llama 4 Maverick (Over-Confident)</w:t>
      </w:r>
    </w:p>
    <w:p w14:paraId="484D1BBD" w14:textId="77777777" w:rsidR="000109B1" w:rsidRDefault="00000000">
      <w:pPr>
        <w:numPr>
          <w:ilvl w:val="0"/>
          <w:numId w:val="1"/>
        </w:numPr>
      </w:pPr>
      <w:r>
        <w:rPr>
          <w:rFonts w:ascii="Times New Roman" w:eastAsia="Times New Roman" w:hAnsi="Times New Roman" w:cs="Times New Roman"/>
          <w:b/>
          <w:bCs/>
        </w:rPr>
        <w:t>Strengths:</w:t>
      </w:r>
      <w:r>
        <w:rPr>
          <w:rFonts w:ascii="Times New Roman" w:eastAsia="Times New Roman" w:hAnsi="Times New Roman" w:cs="Times New Roman"/>
        </w:rPr>
        <w:t xml:space="preserve"> Highly faithful to source text with remarkably low named-entity fabrication counts (17–26 entities across runs).</w:t>
      </w:r>
    </w:p>
    <w:p w14:paraId="512DEA91" w14:textId="77777777" w:rsidR="000109B1" w:rsidRDefault="00000000">
      <w:pPr>
        <w:numPr>
          <w:ilvl w:val="0"/>
          <w:numId w:val="1"/>
        </w:numPr>
      </w:pPr>
      <w:r>
        <w:rPr>
          <w:rFonts w:ascii="Times New Roman" w:eastAsia="Times New Roman" w:hAnsi="Times New Roman" w:cs="Times New Roman"/>
          <w:b/>
          <w:bCs/>
        </w:rPr>
        <w:t>Deterministic Failure Mode (Implicit Assumptions):</w:t>
      </w:r>
      <w:r>
        <w:rPr>
          <w:rFonts w:ascii="Times New Roman" w:eastAsia="Times New Roman" w:hAnsi="Times New Roman" w:cs="Times New Roman"/>
        </w:rPr>
        <w:t xml:space="preserve"> Despite strong entailment metrics, both models exhibit slightly lower RAG quality due to poor retrieval resilience. When evidence is noisy, both models trend toward over-confidence. The models occasionally award passing scores on ungrounded assumptions.</w:t>
      </w:r>
    </w:p>
    <w:p w14:paraId="698C8C66" w14:textId="77777777" w:rsidR="000109B1" w:rsidRDefault="00000000">
      <w:pPr>
        <w:numPr>
          <w:ilvl w:val="0"/>
          <w:numId w:val="1"/>
        </w:numPr>
        <w:spacing w:after="240"/>
      </w:pPr>
      <w:r>
        <w:rPr>
          <w:rFonts w:ascii="Times New Roman" w:eastAsia="Times New Roman" w:hAnsi="Times New Roman" w:cs="Times New Roman"/>
          <w:b/>
          <w:bCs/>
        </w:rPr>
        <w:lastRenderedPageBreak/>
        <w:t>Verdict:</w:t>
      </w:r>
      <w:r>
        <w:rPr>
          <w:rFonts w:ascii="Times New Roman" w:eastAsia="Times New Roman" w:hAnsi="Times New Roman" w:cs="Times New Roman"/>
        </w:rPr>
        <w:t xml:space="preserve"> Highly capable models, but they require a pristine retrieval environment to prevent false-positive compliance claims compared to </w:t>
      </w:r>
      <w:proofErr w:type="spellStart"/>
      <w:r>
        <w:rPr>
          <w:rFonts w:ascii="Times New Roman" w:eastAsia="Times New Roman" w:hAnsi="Times New Roman" w:cs="Times New Roman"/>
        </w:rPr>
        <w:t>Anthropic's</w:t>
      </w:r>
      <w:proofErr w:type="spellEnd"/>
      <w:r>
        <w:rPr>
          <w:rFonts w:ascii="Times New Roman" w:eastAsia="Times New Roman" w:hAnsi="Times New Roman" w:cs="Times New Roman"/>
        </w:rPr>
        <w:t xml:space="preserve"> innate risk-aversion.</w:t>
      </w:r>
    </w:p>
    <w:p w14:paraId="4FF30915"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Limitations</w:t>
      </w:r>
    </w:p>
    <w:p w14:paraId="39B05747" w14:textId="77777777" w:rsidR="000109B1" w:rsidRDefault="00000000">
      <w:pPr>
        <w:spacing w:after="240"/>
        <w:rPr>
          <w:rFonts w:ascii="Times New Roman" w:eastAsia="Times New Roman" w:hAnsi="Times New Roman" w:cs="Times New Roman"/>
        </w:rPr>
      </w:pPr>
      <w:r>
        <w:rPr>
          <w:rFonts w:ascii="Times New Roman" w:eastAsia="Times New Roman" w:hAnsi="Times New Roman" w:cs="Times New Roman"/>
        </w:rPr>
        <w:t>When evaluating GRC report outputs via automated code pipelines, researchers must account for the following structural evaluation constraints:</w:t>
      </w:r>
    </w:p>
    <w:p w14:paraId="3D1100CE" w14:textId="77777777" w:rsidR="000109B1" w:rsidRDefault="00000000">
      <w:pPr>
        <w:numPr>
          <w:ilvl w:val="0"/>
          <w:numId w:val="7"/>
        </w:numPr>
      </w:pPr>
      <w:r>
        <w:rPr>
          <w:rFonts w:ascii="Times New Roman" w:eastAsia="Times New Roman" w:hAnsi="Times New Roman" w:cs="Times New Roman"/>
        </w:rPr>
        <w:t>The alternate analysis pipeline relies heavily on exact matches and any information that does not contain key words can be marked as hallucinations.</w:t>
      </w:r>
    </w:p>
    <w:p w14:paraId="5058B9A6" w14:textId="77777777" w:rsidR="000109B1" w:rsidRDefault="00000000">
      <w:pPr>
        <w:numPr>
          <w:ilvl w:val="0"/>
          <w:numId w:val="7"/>
        </w:numPr>
      </w:pPr>
      <w:r>
        <w:rPr>
          <w:rFonts w:ascii="Times New Roman" w:eastAsia="Times New Roman" w:hAnsi="Times New Roman" w:cs="Times New Roman"/>
        </w:rPr>
        <w:t>A generative judge looks at the meaning of the text. If the model rewords a policy or summarizes it logically, the judge marks it as correct due to the idea that it sounds reasonable.</w:t>
      </w:r>
    </w:p>
    <w:p w14:paraId="76D6F4D6" w14:textId="77777777" w:rsidR="000109B1" w:rsidRDefault="00000000">
      <w:pPr>
        <w:numPr>
          <w:ilvl w:val="0"/>
          <w:numId w:val="7"/>
        </w:numPr>
      </w:pPr>
      <w:r>
        <w:rPr>
          <w:rFonts w:ascii="Times New Roman" w:eastAsia="Times New Roman" w:hAnsi="Times New Roman" w:cs="Times New Roman"/>
        </w:rPr>
        <w:t>NLI is extremely literal. It checks if the claim is mathematically proven by the premise. If the generated answer includes words, verbs, or concepts that aren't explicitly written in the cited text, it flags it as a hallucination.</w:t>
      </w:r>
    </w:p>
    <w:p w14:paraId="2F7BA649" w14:textId="77777777" w:rsidR="000109B1"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It should also be noted that the alternative pipeline input for the nli-deberta-v3-base is limited to 512 characters and so the first 1,500 characters of each document is used only.</w:t>
      </w:r>
    </w:p>
    <w:p w14:paraId="35A711C4" w14:textId="77777777" w:rsidR="000109B1" w:rsidRDefault="000109B1">
      <w:pPr>
        <w:spacing w:after="240"/>
        <w:ind w:left="720"/>
        <w:rPr>
          <w:rFonts w:ascii="Times New Roman" w:eastAsia="Times New Roman" w:hAnsi="Times New Roman" w:cs="Times New Roman"/>
          <w:b/>
          <w:bCs/>
        </w:rPr>
      </w:pPr>
    </w:p>
    <w:p w14:paraId="65615E79" w14:textId="050849FC" w:rsidR="000109B1" w:rsidRDefault="00BB1C19">
      <w:pPr>
        <w:spacing w:after="240"/>
        <w:rPr>
          <w:rFonts w:ascii="Times New Roman" w:eastAsia="Times New Roman" w:hAnsi="Times New Roman" w:cs="Times New Roman"/>
        </w:rPr>
      </w:pPr>
      <w:r>
        <w:rPr>
          <w:rFonts w:ascii="Times New Roman" w:eastAsia="Times New Roman" w:hAnsi="Times New Roman" w:cs="Times New Roman"/>
        </w:rPr>
        <w:t xml:space="preserve">References – </w:t>
      </w:r>
    </w:p>
    <w:p w14:paraId="4E3F4902" w14:textId="691D4C72" w:rsidR="00BB1C19" w:rsidRDefault="00402F95">
      <w:pPr>
        <w:spacing w:after="240"/>
        <w:rPr>
          <w:rFonts w:ascii="Times New Roman" w:eastAsia="Times New Roman" w:hAnsi="Times New Roman" w:cs="Times New Roman"/>
        </w:rPr>
      </w:pPr>
      <w:hyperlink r:id="rId11" w:history="1">
        <w:r w:rsidRPr="006011B1">
          <w:rPr>
            <w:rStyle w:val="Hyperlink"/>
            <w:rFonts w:ascii="Times New Roman" w:eastAsia="Times New Roman" w:hAnsi="Times New Roman" w:cs="Times New Roman"/>
          </w:rPr>
          <w:t>https://aws.amazon.com/blogs/machine-learning/detect-hallucinations-for-rag-based-systems/</w:t>
        </w:r>
      </w:hyperlink>
    </w:p>
    <w:p w14:paraId="1C008E02" w14:textId="6E06AA27" w:rsidR="00402F95" w:rsidRDefault="00402F95">
      <w:pPr>
        <w:spacing w:after="240"/>
        <w:rPr>
          <w:rFonts w:ascii="Times New Roman" w:eastAsia="Times New Roman" w:hAnsi="Times New Roman" w:cs="Times New Roman"/>
        </w:rPr>
      </w:pPr>
      <w:hyperlink r:id="rId12" w:history="1">
        <w:r w:rsidRPr="006011B1">
          <w:rPr>
            <w:rStyle w:val="Hyperlink"/>
            <w:rFonts w:ascii="Times New Roman" w:eastAsia="Times New Roman" w:hAnsi="Times New Roman" w:cs="Times New Roman"/>
          </w:rPr>
          <w:t>https://www.braintrust.dev/articles/ai-hallucination-evaluations-metrics-methods-2026</w:t>
        </w:r>
      </w:hyperlink>
    </w:p>
    <w:p w14:paraId="0F710751" w14:textId="63E57C32" w:rsidR="00402F95" w:rsidRDefault="00690BCB">
      <w:pPr>
        <w:spacing w:after="240"/>
        <w:rPr>
          <w:rFonts w:ascii="Times New Roman" w:eastAsia="Times New Roman" w:hAnsi="Times New Roman" w:cs="Times New Roman"/>
        </w:rPr>
      </w:pPr>
      <w:hyperlink r:id="rId13" w:history="1">
        <w:r w:rsidRPr="006011B1">
          <w:rPr>
            <w:rStyle w:val="Hyperlink"/>
            <w:rFonts w:ascii="Times New Roman" w:eastAsia="Times New Roman" w:hAnsi="Times New Roman" w:cs="Times New Roman"/>
          </w:rPr>
          <w:t>https://arxiv.org/pdf/2303.08896</w:t>
        </w:r>
      </w:hyperlink>
    </w:p>
    <w:p w14:paraId="06C02EEC" w14:textId="61CB2194" w:rsidR="00690BCB" w:rsidRDefault="00690BCB">
      <w:pPr>
        <w:spacing w:after="240"/>
        <w:rPr>
          <w:rFonts w:ascii="Times New Roman" w:eastAsia="Times New Roman" w:hAnsi="Times New Roman" w:cs="Times New Roman"/>
        </w:rPr>
      </w:pPr>
      <w:hyperlink r:id="rId14" w:history="1">
        <w:r w:rsidRPr="006011B1">
          <w:rPr>
            <w:rStyle w:val="Hyperlink"/>
            <w:rFonts w:ascii="Times New Roman" w:eastAsia="Times New Roman" w:hAnsi="Times New Roman" w:cs="Times New Roman"/>
          </w:rPr>
          <w:t>https://arxiv.org/pdf/2104.08663</w:t>
        </w:r>
      </w:hyperlink>
    </w:p>
    <w:p w14:paraId="10948278" w14:textId="330B52D4" w:rsidR="00690BCB" w:rsidRDefault="00690BCB">
      <w:pPr>
        <w:spacing w:after="240"/>
        <w:rPr>
          <w:rFonts w:ascii="Times New Roman" w:eastAsia="Times New Roman" w:hAnsi="Times New Roman" w:cs="Times New Roman"/>
        </w:rPr>
      </w:pPr>
      <w:hyperlink r:id="rId15" w:history="1">
        <w:r w:rsidRPr="006011B1">
          <w:rPr>
            <w:rStyle w:val="Hyperlink"/>
            <w:rFonts w:ascii="Times New Roman" w:eastAsia="Times New Roman" w:hAnsi="Times New Roman" w:cs="Times New Roman"/>
          </w:rPr>
          <w:t>https://arxiv.org/pdf/2309.15217</w:t>
        </w:r>
      </w:hyperlink>
    </w:p>
    <w:p w14:paraId="4060BA68" w14:textId="5ED9519F" w:rsidR="00690BCB" w:rsidRDefault="00690BCB">
      <w:pPr>
        <w:spacing w:after="240"/>
        <w:rPr>
          <w:rFonts w:ascii="Times New Roman" w:eastAsia="Times New Roman" w:hAnsi="Times New Roman" w:cs="Times New Roman"/>
        </w:rPr>
      </w:pPr>
      <w:hyperlink r:id="rId16" w:history="1">
        <w:r w:rsidRPr="006011B1">
          <w:rPr>
            <w:rStyle w:val="Hyperlink"/>
            <w:rFonts w:ascii="Times New Roman" w:eastAsia="Times New Roman" w:hAnsi="Times New Roman" w:cs="Times New Roman"/>
          </w:rPr>
          <w:t>https://www.confident-ai.com/blog/llm-evaluation-metrics-everything-you-need-for-llm-evaluation</w:t>
        </w:r>
      </w:hyperlink>
    </w:p>
    <w:p w14:paraId="07DB5276" w14:textId="345CCC30" w:rsidR="00690BCB" w:rsidRDefault="00690BCB">
      <w:pPr>
        <w:spacing w:after="240"/>
        <w:rPr>
          <w:rFonts w:ascii="Times New Roman" w:eastAsia="Times New Roman" w:hAnsi="Times New Roman" w:cs="Times New Roman"/>
        </w:rPr>
      </w:pPr>
      <w:hyperlink r:id="rId17" w:history="1">
        <w:r w:rsidRPr="006011B1">
          <w:rPr>
            <w:rStyle w:val="Hyperlink"/>
            <w:rFonts w:ascii="Times New Roman" w:eastAsia="Times New Roman" w:hAnsi="Times New Roman" w:cs="Times New Roman"/>
          </w:rPr>
          <w:t>https://arxiv.org/pdf/1908.08960</w:t>
        </w:r>
      </w:hyperlink>
    </w:p>
    <w:p w14:paraId="52F490AF" w14:textId="77777777" w:rsidR="00690BCB" w:rsidRDefault="00690BCB">
      <w:pPr>
        <w:spacing w:after="240"/>
        <w:rPr>
          <w:rFonts w:ascii="Times New Roman" w:eastAsia="Times New Roman" w:hAnsi="Times New Roman" w:cs="Times New Roman"/>
        </w:rPr>
      </w:pPr>
    </w:p>
    <w:sectPr w:rsidR="00690B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F1EE5B-98D1-4F29-8EAE-BDD58249D756}"/>
  </w:font>
  <w:font w:name="Cambria">
    <w:panose1 w:val="02040503050406030204"/>
    <w:charset w:val="00"/>
    <w:family w:val="roman"/>
    <w:pitch w:val="variable"/>
    <w:sig w:usb0="E00006FF" w:usb1="420024FF" w:usb2="02000000" w:usb3="00000000" w:csb0="0000019F" w:csb1="00000000"/>
    <w:embedRegular r:id="rId2" w:fontKey="{4C8F3150-E7EF-4B90-92D0-8EF0E732EF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07F"/>
    <w:multiLevelType w:val="multilevel"/>
    <w:tmpl w:val="05D4F2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04786"/>
    <w:multiLevelType w:val="multilevel"/>
    <w:tmpl w:val="2F681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8A684F"/>
    <w:multiLevelType w:val="multilevel"/>
    <w:tmpl w:val="F6524A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2008E6"/>
    <w:multiLevelType w:val="multilevel"/>
    <w:tmpl w:val="14DCA5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E80D72"/>
    <w:multiLevelType w:val="multilevel"/>
    <w:tmpl w:val="0E8C6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1681CAD"/>
    <w:multiLevelType w:val="multilevel"/>
    <w:tmpl w:val="A07AF5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BE1330"/>
    <w:multiLevelType w:val="multilevel"/>
    <w:tmpl w:val="7EECAB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A337E41"/>
    <w:multiLevelType w:val="multilevel"/>
    <w:tmpl w:val="C9E4A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9075F8"/>
    <w:multiLevelType w:val="multilevel"/>
    <w:tmpl w:val="DE9475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F244A8"/>
    <w:multiLevelType w:val="multilevel"/>
    <w:tmpl w:val="34EE0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1B76CE"/>
    <w:multiLevelType w:val="multilevel"/>
    <w:tmpl w:val="3B442F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B8273B"/>
    <w:multiLevelType w:val="multilevel"/>
    <w:tmpl w:val="878690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D64699"/>
    <w:multiLevelType w:val="multilevel"/>
    <w:tmpl w:val="57DAA5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177159"/>
    <w:multiLevelType w:val="multilevel"/>
    <w:tmpl w:val="65783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3D31F8"/>
    <w:multiLevelType w:val="multilevel"/>
    <w:tmpl w:val="755E1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ED0752"/>
    <w:multiLevelType w:val="multilevel"/>
    <w:tmpl w:val="E8F46A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0A37BA"/>
    <w:multiLevelType w:val="multilevel"/>
    <w:tmpl w:val="272039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853EC9"/>
    <w:multiLevelType w:val="multilevel"/>
    <w:tmpl w:val="A8D6B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353CED"/>
    <w:multiLevelType w:val="multilevel"/>
    <w:tmpl w:val="FEE09A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7688266">
    <w:abstractNumId w:val="11"/>
  </w:num>
  <w:num w:numId="2" w16cid:durableId="1722561217">
    <w:abstractNumId w:val="5"/>
  </w:num>
  <w:num w:numId="3" w16cid:durableId="2020303943">
    <w:abstractNumId w:val="7"/>
  </w:num>
  <w:num w:numId="4" w16cid:durableId="675573159">
    <w:abstractNumId w:val="12"/>
  </w:num>
  <w:num w:numId="5" w16cid:durableId="1286889651">
    <w:abstractNumId w:val="18"/>
  </w:num>
  <w:num w:numId="6" w16cid:durableId="492723333">
    <w:abstractNumId w:val="3"/>
  </w:num>
  <w:num w:numId="7" w16cid:durableId="313605268">
    <w:abstractNumId w:val="8"/>
  </w:num>
  <w:num w:numId="8" w16cid:durableId="442767480">
    <w:abstractNumId w:val="4"/>
  </w:num>
  <w:num w:numId="9" w16cid:durableId="510877573">
    <w:abstractNumId w:val="2"/>
  </w:num>
  <w:num w:numId="10" w16cid:durableId="231543846">
    <w:abstractNumId w:val="14"/>
  </w:num>
  <w:num w:numId="11" w16cid:durableId="1939288384">
    <w:abstractNumId w:val="0"/>
  </w:num>
  <w:num w:numId="12" w16cid:durableId="568616110">
    <w:abstractNumId w:val="15"/>
  </w:num>
  <w:num w:numId="13" w16cid:durableId="1884488348">
    <w:abstractNumId w:val="6"/>
  </w:num>
  <w:num w:numId="14" w16cid:durableId="1328436135">
    <w:abstractNumId w:val="13"/>
  </w:num>
  <w:num w:numId="15" w16cid:durableId="1996255082">
    <w:abstractNumId w:val="9"/>
  </w:num>
  <w:num w:numId="16" w16cid:durableId="950090194">
    <w:abstractNumId w:val="1"/>
  </w:num>
  <w:num w:numId="17" w16cid:durableId="417362708">
    <w:abstractNumId w:val="17"/>
  </w:num>
  <w:num w:numId="18" w16cid:durableId="1238633681">
    <w:abstractNumId w:val="10"/>
  </w:num>
  <w:num w:numId="19" w16cid:durableId="6419297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9B1"/>
    <w:rsid w:val="000109B1"/>
    <w:rsid w:val="00402F95"/>
    <w:rsid w:val="005827AE"/>
    <w:rsid w:val="00690BCB"/>
    <w:rsid w:val="00950017"/>
    <w:rsid w:val="00BB1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CB2E"/>
  <w15:docId w15:val="{3E14ABC0-446B-4024-8756-DC6FBBABB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402F95"/>
    <w:rPr>
      <w:color w:val="0000FF" w:themeColor="hyperlink"/>
      <w:u w:val="single"/>
    </w:rPr>
  </w:style>
  <w:style w:type="character" w:styleId="UnresolvedMention">
    <w:name w:val="Unresolved Mention"/>
    <w:basedOn w:val="DefaultParagraphFont"/>
    <w:uiPriority w:val="99"/>
    <w:semiHidden/>
    <w:unhideWhenUsed/>
    <w:rsid w:val="00402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xiv.org/pdf/2303.0889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braintrust.dev/articles/ai-hallucination-evaluations-metrics-methods-2026" TargetMode="External"/><Relationship Id="rId17" Type="http://schemas.openxmlformats.org/officeDocument/2006/relationships/hyperlink" Target="https://arxiv.org/pdf/1908.08960" TargetMode="External"/><Relationship Id="rId2" Type="http://schemas.openxmlformats.org/officeDocument/2006/relationships/styles" Target="styles.xml"/><Relationship Id="rId16" Type="http://schemas.openxmlformats.org/officeDocument/2006/relationships/hyperlink" Target="https://www.confident-ai.com/blog/llm-evaluation-metrics-everything-you-need-for-llm-evalu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ws.amazon.com/blogs/machine-learning/detect-hallucinations-for-rag-based-systems/" TargetMode="External"/><Relationship Id="rId5" Type="http://schemas.openxmlformats.org/officeDocument/2006/relationships/image" Target="media/image1.png"/><Relationship Id="rId15" Type="http://schemas.openxmlformats.org/officeDocument/2006/relationships/hyperlink" Target="https://arxiv.org/pdf/2309.15217"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pdf/2104.08663"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1700</TotalTime>
  <Pages>11</Pages>
  <Words>3448</Words>
  <Characters>19659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Samantha</cp:lastModifiedBy>
  <cp:revision>2</cp:revision>
  <dcterms:created xsi:type="dcterms:W3CDTF">2026-08-02T22:02:00Z</dcterms:created>
  <dcterms:modified xsi:type="dcterms:W3CDTF">2026-08-04T02:22:00Z</dcterms:modified>
</cp:coreProperties>
</file>