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QUESTION 1 (a)</w:t>
      </w:r>
    </w:p>
    <w:p>
      <w:pPr>
        <w:pStyle w:val="style0"/>
        <w:rPr/>
      </w:pPr>
      <w:r>
        <w:rPr>
          <w:lang w:val="en-US"/>
        </w:rPr>
        <w:t>Governance (GV) Function in NIST CSF 2.0</w:t>
      </w:r>
    </w:p>
    <w:p>
      <w:pPr>
        <w:pStyle w:val="style0"/>
        <w:rPr/>
      </w:pPr>
      <w:r>
        <w:rPr>
          <w:lang w:val="en-US"/>
        </w:rPr>
        <w:t>The Govern (GV) function in NIST CSF 2.0 establishes the “tone at the top” by defining how cybersecurity risk is managed, prioritized, and integrated into organizational decision-making.</w:t>
      </w:r>
    </w:p>
    <w:p>
      <w:pPr>
        <w:pStyle w:val="style0"/>
        <w:rPr/>
      </w:pPr>
      <w:r>
        <w:rPr>
          <w:lang w:val="en-US"/>
        </w:rPr>
        <w:t>It ensures that:</w:t>
      </w:r>
    </w:p>
    <w:p>
      <w:pPr>
        <w:pStyle w:val="style0"/>
        <w:rPr/>
      </w:pPr>
      <w:r>
        <w:rPr>
          <w:lang w:val="en-US"/>
        </w:rPr>
        <w:t>Cybersecurity risk is treated as enterprise risk</w:t>
      </w:r>
    </w:p>
    <w:p>
      <w:pPr>
        <w:pStyle w:val="style0"/>
        <w:rPr/>
      </w:pPr>
      <w:r>
        <w:rPr>
          <w:lang w:val="en-US"/>
        </w:rPr>
        <w:t>Leadership sets risk tolerance</w:t>
      </w:r>
    </w:p>
    <w:p>
      <w:pPr>
        <w:pStyle w:val="style0"/>
        <w:rPr/>
      </w:pPr>
      <w:r>
        <w:rPr>
          <w:lang w:val="en-US"/>
        </w:rPr>
        <w:t>Policies align security with business and regulatory needs</w:t>
      </w:r>
    </w:p>
    <w:p>
      <w:pPr>
        <w:pStyle w:val="style0"/>
        <w:rPr/>
      </w:pPr>
      <w:r>
        <w:rPr>
          <w:lang w:val="en-US"/>
        </w:rPr>
        <w:t>GV Category Used: GV.RM – Risk Management Strategy</w:t>
      </w:r>
    </w:p>
    <w:p>
      <w:pPr>
        <w:pStyle w:val="style0"/>
        <w:rPr/>
      </w:pPr>
      <w:r>
        <w:rPr>
          <w:lang w:val="en-US"/>
        </w:rPr>
        <w:t>The specific category is:</w:t>
      </w:r>
    </w:p>
    <w:p>
      <w:pPr>
        <w:pStyle w:val="style0"/>
        <w:rPr/>
      </w:pPr>
      <w:r>
        <w:rPr>
          <w:lang w:val="en-US"/>
        </w:rPr>
        <w:t>GV.RM (Risk Management Strategy)</w:t>
      </w:r>
    </w:p>
    <w:p>
      <w:pPr>
        <w:pStyle w:val="style0"/>
        <w:rPr/>
      </w:pPr>
      <w:r>
        <w:rPr>
          <w:lang w:val="en-US"/>
        </w:rPr>
        <w:t>This category:</w:t>
      </w:r>
    </w:p>
    <w:p>
      <w:pPr>
        <w:pStyle w:val="style0"/>
        <w:rPr/>
      </w:pPr>
      <w:r>
        <w:rPr>
          <w:lang w:val="en-US"/>
        </w:rPr>
        <w:t>Defines risk appetite and tolerance</w:t>
      </w:r>
    </w:p>
    <w:p>
      <w:pPr>
        <w:pStyle w:val="style0"/>
        <w:rPr/>
      </w:pPr>
      <w:r>
        <w:rPr>
          <w:lang w:val="en-US"/>
        </w:rPr>
        <w:t>Establishes policies for managing cybersecurity risks</w:t>
      </w:r>
    </w:p>
    <w:p>
      <w:pPr>
        <w:pStyle w:val="style0"/>
        <w:rPr/>
      </w:pPr>
      <w:r>
        <w:rPr>
          <w:lang w:val="en-US"/>
        </w:rPr>
        <w:t>Aligns cybersecurity with the organization’s mission (healthcare delivery)</w:t>
      </w:r>
    </w:p>
    <w:p>
      <w:pPr>
        <w:pStyle w:val="style0"/>
        <w:rPr/>
      </w:pPr>
      <w:r>
        <w:rPr>
          <w:lang w:val="en-US"/>
        </w:rPr>
        <w:t>Organizational Context &amp; Low Risk Tolerance</w:t>
      </w:r>
    </w:p>
    <w:p>
      <w:pPr>
        <w:pStyle w:val="style0"/>
        <w:rPr/>
      </w:pPr>
      <w:r>
        <w:rPr>
          <w:lang w:val="en-US"/>
        </w:rPr>
        <w:t>In a healthcare environment, patient data (PHI) is highly sensitive and regulated (HIPAA-like requirements).</w:t>
      </w:r>
    </w:p>
    <w:p>
      <w:pPr>
        <w:pStyle w:val="style0"/>
        <w:rPr/>
      </w:pPr>
      <w:r>
        <w:rPr>
          <w:lang w:val="en-US"/>
        </w:rPr>
        <w:t>A Low Risk Tolerance means:</w:t>
      </w:r>
    </w:p>
    <w:p>
      <w:pPr>
        <w:pStyle w:val="style0"/>
        <w:rPr/>
      </w:pPr>
      <w:r>
        <w:rPr>
          <w:lang w:val="en-US"/>
        </w:rPr>
        <w:t>Minimal acceptance of data exposure</w:t>
      </w:r>
    </w:p>
    <w:p>
      <w:pPr>
        <w:pStyle w:val="style0"/>
        <w:rPr/>
      </w:pPr>
      <w:r>
        <w:rPr>
          <w:lang w:val="en-US"/>
        </w:rPr>
        <w:t>Strong emphasis on confidentiality and integrity</w:t>
      </w:r>
    </w:p>
    <w:p>
      <w:pPr>
        <w:pStyle w:val="style0"/>
        <w:rPr/>
      </w:pPr>
      <w:r>
        <w:rPr>
          <w:lang w:val="en-US"/>
        </w:rPr>
        <w:t>Strict controls on systems storing patient data</w:t>
      </w:r>
    </w:p>
    <w:p>
      <w:pPr>
        <w:pStyle w:val="style0"/>
        <w:rPr/>
      </w:pPr>
      <w:r>
        <w:rPr>
          <w:lang w:val="en-US"/>
        </w:rPr>
        <w:t>Impact on Identify (ID) Function – Asset Inventory</w:t>
      </w:r>
    </w:p>
    <w:p>
      <w:pPr>
        <w:pStyle w:val="style0"/>
        <w:rPr/>
      </w:pPr>
      <w:r>
        <w:rPr>
          <w:lang w:val="en-US"/>
        </w:rPr>
        <w:t>Under the Identify (ID) function, low risk tolerance requires:</w:t>
      </w:r>
    </w:p>
    <w:p>
      <w:pPr>
        <w:pStyle w:val="style0"/>
        <w:rPr/>
      </w:pPr>
      <w:r>
        <w:rPr>
          <w:lang w:val="en-US"/>
        </w:rPr>
        <w:t>Complete asset inventory of:</w:t>
      </w:r>
    </w:p>
    <w:p>
      <w:pPr>
        <w:pStyle w:val="style0"/>
        <w:rPr/>
      </w:pPr>
      <w:r>
        <w:rPr>
          <w:lang w:val="en-US"/>
        </w:rPr>
        <w:t>Patient databases</w:t>
      </w:r>
    </w:p>
    <w:p>
      <w:pPr>
        <w:pStyle w:val="style0"/>
        <w:rPr/>
      </w:pPr>
      <w:r>
        <w:rPr>
          <w:lang w:val="en-US"/>
        </w:rPr>
        <w:t>Cloud workloads</w:t>
      </w:r>
    </w:p>
    <w:p>
      <w:pPr>
        <w:pStyle w:val="style0"/>
        <w:rPr/>
      </w:pPr>
      <w:r>
        <w:rPr>
          <w:lang w:val="en-US"/>
        </w:rPr>
        <w:t>APIs and microservices</w:t>
      </w:r>
    </w:p>
    <w:p>
      <w:pPr>
        <w:pStyle w:val="style0"/>
        <w:rPr/>
      </w:pPr>
      <w:r>
        <w:rPr>
          <w:lang w:val="en-US"/>
        </w:rPr>
        <w:t>Data classification to identify systems handling PHI</w:t>
      </w:r>
    </w:p>
    <w:p>
      <w:pPr>
        <w:pStyle w:val="style0"/>
        <w:rPr/>
      </w:pPr>
      <w:r>
        <w:rPr>
          <w:lang w:val="en-US"/>
        </w:rPr>
        <w:t>Asset ownership and criticality assignment</w:t>
      </w:r>
    </w:p>
    <w:p>
      <w:pPr>
        <w:pStyle w:val="style0"/>
        <w:rPr/>
      </w:pPr>
      <w:r>
        <w:rPr>
          <w:lang w:val="en-US"/>
        </w:rPr>
        <w:t>👉 This ensures high-risk assets are identified first and receive stronger protection.</w:t>
      </w:r>
    </w:p>
    <w:p>
      <w:pPr>
        <w:pStyle w:val="style0"/>
        <w:rPr/>
      </w:pPr>
      <w:r>
        <w:rPr>
          <w:lang w:val="en-US"/>
        </w:rPr>
        <w:t>QUESTION 1 (b)</w:t>
      </w:r>
    </w:p>
    <w:p>
      <w:pPr>
        <w:pStyle w:val="style0"/>
        <w:rPr/>
      </w:pPr>
      <w:r>
        <w:rPr>
          <w:lang w:val="en-US"/>
        </w:rPr>
        <w:t>OWASP Top 10 Risk Categories</w:t>
      </w:r>
    </w:p>
    <w:p>
      <w:pPr>
        <w:pStyle w:val="style0"/>
        <w:rPr/>
      </w:pPr>
      <w:r>
        <w:rPr>
          <w:lang w:val="en-US"/>
        </w:rPr>
        <w:t>1. Outdated Java Version</w:t>
      </w:r>
    </w:p>
    <w:p>
      <w:pPr>
        <w:pStyle w:val="style0"/>
        <w:rPr/>
      </w:pPr>
      <w:r>
        <w:rPr>
          <w:lang w:val="en-US"/>
        </w:rPr>
        <w:t>OWASP A06: Vulnerable and Outdated Components</w:t>
      </w:r>
    </w:p>
    <w:p>
      <w:pPr>
        <w:pStyle w:val="style0"/>
        <w:rPr/>
      </w:pPr>
      <w:r>
        <w:rPr>
          <w:lang w:val="en-US"/>
        </w:rPr>
        <w:t>The system uses unsupported Java libraries</w:t>
      </w:r>
    </w:p>
    <w:p>
      <w:pPr>
        <w:pStyle w:val="style0"/>
        <w:rPr/>
      </w:pPr>
      <w:r>
        <w:rPr>
          <w:lang w:val="en-US"/>
        </w:rPr>
        <w:t>Known vulnerabilities can be exploited</w:t>
      </w:r>
    </w:p>
    <w:p>
      <w:pPr>
        <w:pStyle w:val="style0"/>
        <w:rPr/>
      </w:pPr>
      <w:r>
        <w:rPr>
          <w:lang w:val="en-US"/>
        </w:rPr>
        <w:t>Attackers can gain remote code execution</w:t>
      </w:r>
    </w:p>
    <w:p>
      <w:pPr>
        <w:pStyle w:val="style0"/>
        <w:rPr/>
      </w:pPr>
      <w:r>
        <w:rPr>
          <w:lang w:val="en-US"/>
        </w:rPr>
        <w:t>2. Failure to Validate User Inputs</w:t>
      </w:r>
    </w:p>
    <w:p>
      <w:pPr>
        <w:pStyle w:val="style0"/>
        <w:rPr/>
      </w:pPr>
      <w:r>
        <w:rPr>
          <w:lang w:val="en-US"/>
        </w:rPr>
        <w:t>OWASP A03: Injection</w:t>
      </w:r>
    </w:p>
    <w:p>
      <w:pPr>
        <w:pStyle w:val="style0"/>
        <w:rPr/>
      </w:pPr>
      <w:r>
        <w:rPr>
          <w:lang w:val="en-US"/>
        </w:rPr>
        <w:t>Lack of input validation allows:</w:t>
      </w:r>
    </w:p>
    <w:p>
      <w:pPr>
        <w:pStyle w:val="style0"/>
        <w:rPr/>
      </w:pPr>
      <w:r>
        <w:rPr>
          <w:lang w:val="en-US"/>
        </w:rPr>
        <w:t>OS command injection</w:t>
      </w:r>
    </w:p>
    <w:p>
      <w:pPr>
        <w:pStyle w:val="style0"/>
        <w:rPr/>
      </w:pPr>
      <w:r>
        <w:rPr>
          <w:lang w:val="en-US"/>
        </w:rPr>
        <w:t>SQL injection</w:t>
      </w:r>
    </w:p>
    <w:p>
      <w:pPr>
        <w:pStyle w:val="style0"/>
        <w:rPr/>
      </w:pPr>
      <w:r>
        <w:rPr>
          <w:lang w:val="en-US"/>
        </w:rPr>
        <w:t>Attacker can execute arbitrary commands on the server</w:t>
      </w:r>
    </w:p>
    <w:p>
      <w:pPr>
        <w:pStyle w:val="style0"/>
        <w:rPr/>
      </w:pPr>
      <w:r>
        <w:rPr>
          <w:lang w:val="en-US"/>
        </w:rPr>
        <w:t>Defense-in-Depth for the New Cloud Application</w:t>
      </w:r>
    </w:p>
    <w:p>
      <w:pPr>
        <w:pStyle w:val="style0"/>
        <w:rPr/>
      </w:pPr>
      <w:r>
        <w:rPr>
          <w:lang w:val="en-US"/>
        </w:rPr>
        <w:t>1. Prepared Statements</w:t>
      </w:r>
    </w:p>
    <w:p>
      <w:pPr>
        <w:pStyle w:val="style0"/>
        <w:rPr/>
      </w:pPr>
      <w:r>
        <w:rPr>
          <w:lang w:val="en-US"/>
        </w:rPr>
        <w:t>Prepared statements:</w:t>
      </w:r>
    </w:p>
    <w:p>
      <w:pPr>
        <w:pStyle w:val="style0"/>
        <w:rPr/>
      </w:pPr>
      <w:r>
        <w:rPr>
          <w:lang w:val="en-US"/>
        </w:rPr>
        <w:t>Separate SQL code from user input</w:t>
      </w:r>
    </w:p>
    <w:p>
      <w:pPr>
        <w:pStyle w:val="style0"/>
        <w:rPr/>
      </w:pPr>
      <w:r>
        <w:rPr>
          <w:lang w:val="en-US"/>
        </w:rPr>
        <w:t>Prevent SQL and command injection</w:t>
      </w:r>
    </w:p>
    <w:p>
      <w:pPr>
        <w:pStyle w:val="style0"/>
        <w:rPr/>
      </w:pPr>
      <w:r>
        <w:rPr>
          <w:lang w:val="en-US"/>
        </w:rPr>
        <w:t>Ensure inputs are treated strictly as data</w:t>
      </w:r>
    </w:p>
    <w:p>
      <w:pPr>
        <w:pStyle w:val="style0"/>
        <w:rPr/>
      </w:pPr>
      <w:r>
        <w:rPr>
          <w:lang w:val="en-US"/>
        </w:rPr>
        <w:t>Example benefit:</w:t>
      </w:r>
    </w:p>
    <w:p>
      <w:pPr>
        <w:pStyle w:val="style0"/>
        <w:rPr/>
      </w:pPr>
      <w:r>
        <w:rPr>
          <w:lang w:val="en-US"/>
        </w:rPr>
        <w:t>Even malicious input cannot alter query structure.</w:t>
      </w:r>
    </w:p>
    <w:p>
      <w:pPr>
        <w:pStyle w:val="style0"/>
        <w:rPr/>
      </w:pPr>
      <w:r>
        <w:rPr>
          <w:lang w:val="en-US"/>
        </w:rPr>
        <w:t>2. Software Composition Analysis (SCA)</w:t>
      </w:r>
    </w:p>
    <w:p>
      <w:pPr>
        <w:pStyle w:val="style0"/>
        <w:rPr/>
      </w:pPr>
      <w:r>
        <w:rPr>
          <w:lang w:val="en-US"/>
        </w:rPr>
        <w:t>SCA:</w:t>
      </w:r>
    </w:p>
    <w:p>
      <w:pPr>
        <w:pStyle w:val="style0"/>
        <w:rPr/>
      </w:pPr>
      <w:r>
        <w:rPr>
          <w:lang w:val="en-US"/>
        </w:rPr>
        <w:t>Scans third-party libraries for known vulnerabilities</w:t>
      </w:r>
    </w:p>
    <w:p>
      <w:pPr>
        <w:pStyle w:val="style0"/>
        <w:rPr/>
      </w:pPr>
      <w:r>
        <w:rPr>
          <w:lang w:val="en-US"/>
        </w:rPr>
        <w:t>Detects outdated dependencies</w:t>
      </w:r>
    </w:p>
    <w:p>
      <w:pPr>
        <w:pStyle w:val="style0"/>
        <w:rPr/>
      </w:pPr>
      <w:r>
        <w:rPr>
          <w:lang w:val="en-US"/>
        </w:rPr>
        <w:t>Enforces secure versions of Java libraries</w:t>
      </w:r>
    </w:p>
    <w:p>
      <w:pPr>
        <w:pStyle w:val="style0"/>
        <w:rPr/>
      </w:pPr>
      <w:r>
        <w:rPr>
          <w:lang w:val="en-US"/>
        </w:rPr>
        <w:t>Combined Defense-in-Depth Effect</w:t>
      </w:r>
    </w:p>
    <w:p>
      <w:pPr>
        <w:pStyle w:val="style0"/>
        <w:rPr/>
      </w:pPr>
      <w:r>
        <w:rPr>
          <w:lang w:val="en-US"/>
        </w:rPr>
        <w:t>Using Prepared Statements + SCA:</w:t>
      </w:r>
    </w:p>
    <w:p>
      <w:pPr>
        <w:pStyle w:val="style0"/>
        <w:rPr/>
      </w:pPr>
      <w:r>
        <w:rPr>
          <w:lang w:val="en-US"/>
        </w:rPr>
        <w:t>Blocks injection at the application layer</w:t>
      </w:r>
    </w:p>
    <w:p>
      <w:pPr>
        <w:pStyle w:val="style0"/>
        <w:rPr/>
      </w:pPr>
      <w:r>
        <w:rPr>
          <w:lang w:val="en-US"/>
        </w:rPr>
        <w:t>Eliminates vulnerable components</w:t>
      </w:r>
    </w:p>
    <w:p>
      <w:pPr>
        <w:pStyle w:val="style0"/>
        <w:rPr/>
      </w:pPr>
      <w:r>
        <w:rPr>
          <w:lang w:val="en-US"/>
        </w:rPr>
        <w:t>Reduces attack surface across the stack</w:t>
      </w:r>
    </w:p>
    <w:p>
      <w:pPr>
        <w:pStyle w:val="style0"/>
        <w:rPr/>
      </w:pPr>
      <w:r>
        <w:rPr>
          <w:lang w:val="en-US"/>
        </w:rPr>
        <w:t>QUESTION 1 (c)</w:t>
      </w:r>
    </w:p>
    <w:p>
      <w:pPr>
        <w:pStyle w:val="style0"/>
        <w:rPr/>
      </w:pPr>
      <w:r>
        <w:rPr>
          <w:lang w:val="en-US"/>
        </w:rPr>
        <w:t>Definition of Solution Context (NIST SP 800-160)</w:t>
      </w:r>
    </w:p>
    <w:p>
      <w:pPr>
        <w:pStyle w:val="style0"/>
        <w:rPr/>
      </w:pPr>
      <w:r>
        <w:rPr>
          <w:lang w:val="en-US"/>
        </w:rPr>
        <w:t>The Solution Context describes:</w:t>
      </w:r>
    </w:p>
    <w:p>
      <w:pPr>
        <w:pStyle w:val="style0"/>
        <w:rPr/>
      </w:pPr>
      <w:r>
        <w:rPr>
          <w:lang w:val="en-US"/>
        </w:rPr>
        <w:t>The final system design</w:t>
      </w:r>
    </w:p>
    <w:p>
      <w:pPr>
        <w:pStyle w:val="style0"/>
        <w:rPr/>
      </w:pPr>
      <w:r>
        <w:rPr>
          <w:lang w:val="en-US"/>
        </w:rPr>
        <w:t>How components interact</w:t>
      </w:r>
    </w:p>
    <w:p>
      <w:pPr>
        <w:pStyle w:val="style0"/>
        <w:rPr/>
      </w:pPr>
      <w:r>
        <w:rPr>
          <w:lang w:val="en-US"/>
        </w:rPr>
        <w:t>How security controls are implemented</w:t>
      </w:r>
    </w:p>
    <w:p>
      <w:pPr>
        <w:pStyle w:val="style0"/>
        <w:rPr/>
      </w:pPr>
      <w:r>
        <w:rPr>
          <w:lang w:val="en-US"/>
        </w:rPr>
        <w:t>It focuses on HOW the solution is built and operated.</w:t>
      </w:r>
    </w:p>
    <w:p>
      <w:pPr>
        <w:pStyle w:val="style0"/>
        <w:rPr/>
      </w:pPr>
      <w:r>
        <w:rPr>
          <w:lang w:val="en-US"/>
        </w:rPr>
        <w:t>Difference Between Solution Context and Problem Context</w:t>
      </w:r>
    </w:p>
    <w:p>
      <w:pPr>
        <w:pStyle w:val="style0"/>
        <w:rPr/>
      </w:pPr>
      <w:r>
        <w:rPr>
          <w:lang w:val="en-US"/>
        </w:rPr>
        <w:t>Problem Context</w:t>
      </w:r>
    </w:p>
    <w:p>
      <w:pPr>
        <w:pStyle w:val="style0"/>
        <w:rPr/>
      </w:pPr>
      <w:r>
        <w:rPr>
          <w:lang w:val="en-US"/>
        </w:rPr>
        <w:t>Solution Context</w:t>
      </w:r>
    </w:p>
    <w:p>
      <w:pPr>
        <w:pStyle w:val="style0"/>
        <w:rPr/>
      </w:pPr>
      <w:r>
        <w:rPr>
          <w:lang w:val="en-US"/>
        </w:rPr>
        <w:t>Describes the problem</w:t>
      </w:r>
    </w:p>
    <w:p>
      <w:pPr>
        <w:pStyle w:val="style0"/>
        <w:rPr/>
      </w:pPr>
      <w:r>
        <w:rPr>
          <w:lang w:val="en-US"/>
        </w:rPr>
        <w:t>Describes the implemented system</w:t>
      </w:r>
    </w:p>
    <w:p>
      <w:pPr>
        <w:pStyle w:val="style0"/>
        <w:rPr/>
      </w:pPr>
      <w:r>
        <w:rPr>
          <w:lang w:val="en-US"/>
        </w:rPr>
        <w:t>Defines protection needs</w:t>
      </w:r>
    </w:p>
    <w:p>
      <w:pPr>
        <w:pStyle w:val="style0"/>
        <w:rPr/>
      </w:pPr>
      <w:r>
        <w:rPr>
          <w:lang w:val="en-US"/>
        </w:rPr>
        <w:t>Shows controls that meet those needs</w:t>
      </w:r>
    </w:p>
    <w:p>
      <w:pPr>
        <w:pStyle w:val="style0"/>
        <w:rPr/>
      </w:pPr>
      <w:r>
        <w:rPr>
          <w:lang w:val="en-US"/>
        </w:rPr>
        <w:t>High-level</w:t>
      </w:r>
    </w:p>
    <w:p>
      <w:pPr>
        <w:pStyle w:val="style0"/>
        <w:rPr/>
      </w:pPr>
      <w:r>
        <w:rPr>
          <w:lang w:val="en-US"/>
        </w:rPr>
        <w:t>Technical and architectural</w:t>
      </w:r>
    </w:p>
    <w:p>
      <w:pPr>
        <w:pStyle w:val="style0"/>
        <w:rPr/>
      </w:pPr>
      <w:r>
        <w:rPr>
          <w:lang w:val="en-US"/>
        </w:rPr>
        <w:t>Role of Traceability</w:t>
      </w:r>
    </w:p>
    <w:p>
      <w:pPr>
        <w:pStyle w:val="style0"/>
        <w:rPr/>
      </w:pPr>
      <w:r>
        <w:rPr>
          <w:lang w:val="en-US"/>
        </w:rPr>
        <w:t>Traceability ensures:</w:t>
      </w:r>
    </w:p>
    <w:p>
      <w:pPr>
        <w:pStyle w:val="style0"/>
        <w:rPr/>
      </w:pPr>
      <w:r>
        <w:rPr>
          <w:lang w:val="en-US"/>
        </w:rPr>
        <w:t>Every security requirement maps to:</w:t>
      </w:r>
    </w:p>
    <w:p>
      <w:pPr>
        <w:pStyle w:val="style0"/>
        <w:rPr/>
      </w:pPr>
      <w:r>
        <w:rPr>
          <w:lang w:val="en-US"/>
        </w:rPr>
        <w:t>Design decisions</w:t>
      </w:r>
    </w:p>
    <w:p>
      <w:pPr>
        <w:pStyle w:val="style0"/>
        <w:rPr/>
      </w:pPr>
      <w:r>
        <w:rPr>
          <w:lang w:val="en-US"/>
        </w:rPr>
        <w:t>Security controls</w:t>
      </w:r>
    </w:p>
    <w:p>
      <w:pPr>
        <w:pStyle w:val="style0"/>
        <w:rPr/>
      </w:pPr>
      <w:r>
        <w:rPr>
          <w:lang w:val="en-US"/>
        </w:rPr>
        <w:t>Test cases</w:t>
      </w:r>
    </w:p>
    <w:p>
      <w:pPr>
        <w:pStyle w:val="style0"/>
        <w:rPr/>
      </w:pPr>
      <w:r>
        <w:rPr>
          <w:lang w:val="en-US"/>
        </w:rPr>
        <w:t>Proving Trustworthiness to Stakeholders</w:t>
      </w:r>
    </w:p>
    <w:p>
      <w:pPr>
        <w:pStyle w:val="style0"/>
        <w:rPr/>
      </w:pPr>
      <w:r>
        <w:rPr>
          <w:lang w:val="en-US"/>
        </w:rPr>
        <w:t>Traceability allows stakeholders to verify that:</w:t>
      </w:r>
    </w:p>
    <w:p>
      <w:pPr>
        <w:pStyle w:val="style0"/>
        <w:rPr/>
      </w:pPr>
      <w:r>
        <w:rPr>
          <w:lang w:val="en-US"/>
        </w:rPr>
        <w:t>Protection Needs → Security Controls → Verification Evidence</w:t>
      </w:r>
    </w:p>
    <w:p>
      <w:pPr>
        <w:pStyle w:val="style0"/>
        <w:rPr/>
      </w:pPr>
      <w:r>
        <w:rPr>
          <w:lang w:val="en-US"/>
        </w:rPr>
        <w:t>No security requirement was missed</w:t>
      </w:r>
    </w:p>
    <w:p>
      <w:pPr>
        <w:pStyle w:val="style0"/>
        <w:rPr/>
      </w:pPr>
      <w:r>
        <w:rPr>
          <w:lang w:val="en-US"/>
        </w:rPr>
        <w:t>The system meets confidentiality, integrity, and availability goals</w:t>
      </w:r>
    </w:p>
    <w:p>
      <w:pPr>
        <w:pStyle w:val="style0"/>
        <w:rPr/>
      </w:pPr>
      <w:r>
        <w:rPr>
          <w:lang w:val="en-US"/>
        </w:rPr>
        <w:t>👉 This demonstrates that the system is trustworthy by design, not by assumption.</w:t>
      </w:r>
    </w:p>
    <w:p>
      <w:pPr>
        <w:pStyle w:val="style0"/>
        <w:rPr/>
      </w:pPr>
      <w:r>
        <w:rPr>
          <w:lang w:val="en-US"/>
        </w:rPr>
        <w:t>QUESTION 1 (d)</w:t>
      </w:r>
    </w:p>
    <w:p>
      <w:pPr>
        <w:pStyle w:val="style0"/>
        <w:rPr/>
      </w:pPr>
      <w:r>
        <w:rPr>
          <w:lang w:val="en-US"/>
        </w:rPr>
        <w:t>Why This Is Detect (DE) Not Protect (PR)</w:t>
      </w:r>
    </w:p>
    <w:p>
      <w:pPr>
        <w:pStyle w:val="style0"/>
        <w:rPr/>
      </w:pPr>
      <w:r>
        <w:rPr>
          <w:lang w:val="en-US"/>
        </w:rPr>
        <w:t>The sudden encryption of 50,000 files is:</w:t>
      </w:r>
    </w:p>
    <w:p>
      <w:pPr>
        <w:pStyle w:val="style0"/>
        <w:rPr/>
      </w:pPr>
      <w:r>
        <w:rPr>
          <w:lang w:val="en-US"/>
        </w:rPr>
        <w:t>A behavioral anomaly</w:t>
      </w:r>
    </w:p>
    <w:p>
      <w:pPr>
        <w:pStyle w:val="style0"/>
        <w:rPr/>
      </w:pPr>
      <w:r>
        <w:rPr>
          <w:lang w:val="en-US"/>
        </w:rPr>
        <w:t>Indicates a potential ransomware attack already in progress</w:t>
      </w:r>
    </w:p>
    <w:p>
      <w:pPr>
        <w:pStyle w:val="style0"/>
        <w:rPr/>
      </w:pPr>
      <w:r>
        <w:rPr>
          <w:lang w:val="en-US"/>
        </w:rPr>
        <w:t>Detect (DE) focuses on:</w:t>
      </w:r>
    </w:p>
    <w:p>
      <w:pPr>
        <w:pStyle w:val="style0"/>
        <w:rPr/>
      </w:pPr>
      <w:r>
        <w:rPr>
          <w:lang w:val="en-US"/>
        </w:rPr>
        <w:t>Identifying suspicious activity</w:t>
      </w:r>
    </w:p>
    <w:p>
      <w:pPr>
        <w:pStyle w:val="style0"/>
        <w:rPr/>
      </w:pPr>
      <w:r>
        <w:rPr>
          <w:lang w:val="en-US"/>
        </w:rPr>
        <w:t>Monitoring and alerting</w:t>
      </w:r>
    </w:p>
    <w:p>
      <w:pPr>
        <w:pStyle w:val="style0"/>
        <w:rPr/>
      </w:pPr>
      <w:r>
        <w:rPr>
          <w:lang w:val="en-US"/>
        </w:rPr>
        <w:t>Protect (PR) focuses on:</w:t>
      </w:r>
    </w:p>
    <w:p>
      <w:pPr>
        <w:pStyle w:val="style0"/>
        <w:rPr/>
      </w:pPr>
      <w:r>
        <w:rPr>
          <w:lang w:val="en-US"/>
        </w:rPr>
        <w:t>Preventive safeguards before an incident</w:t>
      </w:r>
    </w:p>
    <w:p>
      <w:pPr>
        <w:pStyle w:val="style0"/>
        <w:rPr/>
      </w:pPr>
      <w:r>
        <w:rPr>
          <w:lang w:val="en-US"/>
        </w:rPr>
        <w:t>👉 Since the attack is observed, not prevented, it belongs to Detect (DE).</w:t>
      </w:r>
    </w:p>
    <w:p>
      <w:pPr>
        <w:pStyle w:val="style0"/>
        <w:rPr/>
      </w:pPr>
      <w:r>
        <w:rPr>
          <w:lang w:val="en-US"/>
        </w:rPr>
        <w:t>Respond (RS) Category for Mitigating Spread</w:t>
      </w:r>
    </w:p>
    <w:p>
      <w:pPr>
        <w:pStyle w:val="style0"/>
        <w:rPr/>
      </w:pPr>
      <w:r>
        <w:rPr>
          <w:lang w:val="en-US"/>
        </w:rPr>
        <w:t>RS.MI – Mitigation</w:t>
      </w:r>
    </w:p>
    <w:p>
      <w:pPr>
        <w:pStyle w:val="style0"/>
        <w:rPr/>
      </w:pPr>
      <w:r>
        <w:rPr>
          <w:lang w:val="en-US"/>
        </w:rPr>
        <w:t>This category includes:</w:t>
      </w:r>
    </w:p>
    <w:p>
      <w:pPr>
        <w:pStyle w:val="style0"/>
        <w:rPr/>
      </w:pPr>
      <w:r>
        <w:rPr>
          <w:lang w:val="en-US"/>
        </w:rPr>
        <w:t>Isolating infected systems</w:t>
      </w:r>
    </w:p>
    <w:p>
      <w:pPr>
        <w:pStyle w:val="style0"/>
        <w:rPr/>
      </w:pPr>
      <w:r>
        <w:rPr>
          <w:lang w:val="en-US"/>
        </w:rPr>
        <w:t>Blocking malicious processes</w:t>
      </w:r>
    </w:p>
    <w:p>
      <w:pPr>
        <w:pStyle w:val="style0"/>
        <w:rPr/>
      </w:pPr>
      <w:r>
        <w:rPr>
          <w:lang w:val="en-US"/>
        </w:rPr>
        <w:t>Stopping lateral movement</w:t>
      </w:r>
    </w:p>
    <w:p>
      <w:pPr>
        <w:pStyle w:val="style0"/>
        <w:rPr/>
      </w:pPr>
      <w:r>
        <w:rPr>
          <w:lang w:val="en-US"/>
        </w:rPr>
        <w:t>Disabling compromised credentials</w:t>
      </w:r>
    </w:p>
    <w:p>
      <w:pPr>
        <w:pStyle w:val="style0"/>
        <w:rPr/>
      </w:pPr>
      <w:r>
        <w:rPr>
          <w:lang w:val="en-US"/>
        </w:rPr>
        <w:t>Recover (RC) Category for Lessons Learned</w:t>
      </w:r>
    </w:p>
    <w:p>
      <w:pPr>
        <w:pStyle w:val="style0"/>
        <w:rPr/>
      </w:pPr>
      <w:r>
        <w:rPr>
          <w:lang w:val="en-US"/>
        </w:rPr>
        <w:t>RC.IM – Improvements</w:t>
      </w:r>
    </w:p>
    <w:p>
      <w:pPr>
        <w:pStyle w:val="style0"/>
        <w:rPr/>
      </w:pPr>
      <w:r>
        <w:rPr>
          <w:lang w:val="en-US"/>
        </w:rPr>
        <w:t>RC.IM focuses on:</w:t>
      </w:r>
    </w:p>
    <w:p>
      <w:pPr>
        <w:pStyle w:val="style0"/>
        <w:rPr/>
      </w:pPr>
      <w:r>
        <w:rPr>
          <w:lang w:val="en-US"/>
        </w:rPr>
        <w:t>Conducting post-incident reviews</w:t>
      </w:r>
    </w:p>
    <w:p>
      <w:pPr>
        <w:pStyle w:val="style0"/>
        <w:rPr/>
      </w:pPr>
      <w:r>
        <w:rPr>
          <w:lang w:val="en-US"/>
        </w:rPr>
        <w:t>Updating incident response plans</w:t>
      </w:r>
    </w:p>
    <w:p>
      <w:pPr>
        <w:pStyle w:val="style0"/>
        <w:rPr/>
      </w:pPr>
      <w:r>
        <w:rPr>
          <w:lang w:val="en-US"/>
        </w:rPr>
        <w:t>Improving backup and recovery strategies</w:t>
      </w:r>
    </w:p>
    <w:p>
      <w:pPr>
        <w:pStyle w:val="style0"/>
        <w:rPr/>
      </w:pPr>
      <w:r>
        <w:rPr>
          <w:lang w:val="en-US"/>
        </w:rPr>
        <w:t>Strengthening ransomware defenses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570</Words>
  <Characters>3613</Characters>
  <Application>WPS Office</Application>
  <Paragraphs>113</Paragraphs>
  <CharactersWithSpaces>4074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2026-01-08T04:53:59Z</dcterms:created>
  <dc:creator>TECNO KG5j</dc:creator>
  <lastModifiedBy>TECNO KG5j</lastModifiedBy>
  <dcterms:modified xsi:type="dcterms:W3CDTF">2026-01-08T04:53:59Z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017408bc66514881935345323ee857c4</vt:lpwstr>
  </property>
</Properties>
</file>