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pPr>
        <w:spacing w:after="40"/>
        <w:jc w:val="center"/>
        <w:rPr>
          <w:lang w:val="id-ID"/>
        </w:rPr>
      </w:pPr>
      <w:r>
        <w:rPr>
          <w:b/>
          <w:bCs/>
          <w:sz w:val="28"/>
          <w:szCs w:val="28"/>
          <w:lang w:val="id-ID"/>
        </w:rPr>
        <w:t xml:space="preserve">KERANGKA ACUAN KERJA (KAK)</w:t>
      </w:r>
    </w:p>
    <w:p>
      <w:pPr>
        <w:spacing w:after="40"/>
        <w:jc w:val="center"/>
        <w:rPr>
          <w:lang w:val="id-ID"/>
        </w:rPr>
      </w:pPr>
      <w:r>
        <w:rPr>
          <w:b/>
          <w:bCs/>
          <w:sz w:val="28"/>
          <w:szCs w:val="28"/>
          <w:lang w:val="id-ID"/>
        </w:rPr>
        <w:t xml:space="preserve">TIM PENASIHAT TEKNIS (TECHNICAL ADVISORY TEAM)</w:t>
      </w:r>
    </w:p>
    <w:p>
      <w:pPr>
        <w:spacing w:after="40"/>
        <w:jc w:val="center"/>
        <w:rPr>
          <w:lang w:val="id-ID"/>
        </w:rPr>
      </w:pPr>
      <w:r>
        <w:rPr>
          <w:b/>
          <w:bCs/>
          <w:sz w:val="24"/>
          <w:szCs w:val="24"/>
          <w:lang w:val="id-ID"/>
        </w:rPr>
        <w:t xml:space="preserve">PENDAMPINGAN PENYUSUNAN PROJECT IDEA NOTE (PIN) DAN PROJECT DESIGN DOCUMENT (PDD) STANDAR PLAN VIVO (PV CLIMATE)</w:t>
      </w:r>
    </w:p>
    <w:p>
      <w:pPr>
        <w:spacing w:after="40"/>
        <w:jc w:val="center"/>
        <w:rPr>
          <w:lang w:val="id-ID"/>
        </w:rPr>
      </w:pPr>
      <w:r>
        <w:rPr>
          <w:sz w:val="24"/>
          <w:szCs w:val="24"/>
          <w:lang w:val="id-ID"/>
        </w:rPr>
        <w:t xml:space="preserve">Proyek Karbon Berbasis Masyarakat Desa Pasir, Kabupaten Mempawah</w:t>
      </w:r>
    </w:p>
    <w:p>
      <w:pPr>
        <w:spacing w:after="200"/>
        <w:jc w:val="center"/>
        <w:rPr>
          <w:lang w:val="id-ID"/>
        </w:rPr>
      </w:pPr>
      <w:r>
        <w:rPr>
          <w:i/>
          <w:iCs/>
          <w:lang w:val="id-ID"/>
        </w:rPr>
        <w:t xml:space="preserve">November 2026 – Juni 2027</w:t>
      </w:r>
    </w:p>
    <w:p>
      <w:pPr>
        <w:pStyle w:val="DaftarParagraf"/>
        <w:keepNext/>
        <w:numPr>
          <w:ilvl w:val="0"/>
          <w:numId w:val="2"/>
        </w:numPr>
        <w:spacing w:before="320" w:after="140"/>
        <w:rPr>
          <w:lang w:val="id-ID"/>
        </w:rPr>
      </w:pPr>
      <w:r>
        <w:rPr>
          <w:b/>
          <w:bCs/>
          <w:sz w:val="26"/>
          <w:szCs w:val="26"/>
          <w:lang w:val="id-ID"/>
        </w:rPr>
        <w:t xml:space="preserve">Latar Belakang</w:t>
      </w:r>
    </w:p>
    <w:p>
      <w:pPr>
        <w:spacing w:after="200" w:line="300" w:lineRule="auto"/>
        <w:jc w:val="both"/>
        <w:rPr>
          <w:lang w:val="id-ID"/>
        </w:rPr>
      </w:pPr>
      <w:r>
        <w:rPr>
          <w:lang w:val="id-ID"/>
        </w:rPr>
        <w:t xml:space="preserve">SAMPAN Kalimantan sedang mengembangkan program karbon berbasis masyarakat (community carbon) di Desa Pasir, Kecamatan Mempawah Hilir, Kabupaten Mempawah, Kalimantan Barat. Program ini berangkat dari pendampingan SAMPAN bersama masyarakat pesisir Desa Pasir dalam perlindungan dan pemulihan ekosistem mangrove pada areal seluas </w:t>
      </w:r>
      <w:r>
        <w:rPr>
          <w:i/>
          <w:iCs/>
          <w:lang w:val="id-ID"/>
        </w:rPr>
        <w:t xml:space="preserve">[± … ha]</w:t>
      </w:r>
      <w:r>
        <w:rPr>
          <w:lang w:val="id-ID"/>
        </w:rPr>
        <w:t xml:space="preserve"> yang dikelola oleh </w:t>
      </w:r>
      <w:r>
        <w:rPr>
          <w:i/>
          <w:iCs/>
          <w:lang w:val="id-ID"/>
        </w:rPr>
        <w:t xml:space="preserve">[nama kelompok/lembaga pengelola masyarakat]</w:t>
      </w:r>
      <w:r>
        <w:rPr>
          <w:lang w:val="id-ID"/>
        </w:rPr>
        <w:t xml:space="preserve">. Melalui sertifikasi karbon, upaya tersebut diharapkan memperoleh pengakuan dan sumber pendanaan jangka panjang yang manfaatnya kembali kepada masyarakat. Skema yang dipilih adalah Standar Plan Vivo (PV Climate), standar yang dirancang khusus untuk proyek berbasis masyarakat dan mensyaratkan sebagian besar manfaat dari penjualan sertifikat diterima oleh masyarakat.</w:t>
      </w:r>
    </w:p>
    <w:p>
      <w:pPr>
        <w:spacing w:after="200" w:line="300" w:lineRule="auto"/>
        <w:jc w:val="both"/>
        <w:rPr>
          <w:lang w:val="id-ID"/>
        </w:rPr>
      </w:pPr>
      <w:r>
        <w:rPr>
          <w:lang w:val="id-ID"/>
        </w:rPr>
        <w:t xml:space="preserve">Untuk masuk ke dalam sistem sertifikasi Plan Vivo, SAMPAN perlu menyusun dua dokumen kunci. Project Idea Note (PIN) diajukan kepada Plan Vivo Foundation sebagai tahap awal penilaian kelayakan proyek, sedangkan Project Design Document (PDD) merupakan dokumen desain lengkap yang menjadi dasar validasi oleh lembaga validasi/verifikasi independen. Kedua dokumen menuntut kapasitas teknis yang spesifik: penetapan batas proyek dan skenario baseline, pembuktian additionality, perhitungan stok dan serapan karbon, analisis kebocoran (leakage) dan risiko non-permanen, rencana pemantauan, safeguards sosial dan lingkungan termasuk Persetujuan Atas Dasar Informasi Awal Tanpa Paksaan (PADIATAPA/FPIC), serta tata kelola dan mekanisme pembagian manfaat. Tim SAMPAN memiliki penguasaan lapangan dan kedekatan dengan masyarakat, tetapi belum memiliki pengalaman menyusun dokumen proyek sesuai persyaratan PV Climate.</w:t>
      </w:r>
    </w:p>
    <w:p>
      <w:pPr>
        <w:spacing w:after="200" w:line="300" w:lineRule="auto"/>
        <w:jc w:val="both"/>
        <w:rPr>
          <w:lang w:val="id-ID"/>
        </w:rPr>
      </w:pPr>
      <w:r>
        <w:rPr>
          <w:lang w:val="id-ID"/>
        </w:rPr>
        <w:t xml:space="preserve">SAMPAN memilih agar PIN dan PDD ditulis oleh tim SAMPAN sendiri. Pilihan ini penting karena proyek Plan Vivo berjalan dalam jangka panjang dan menuntut pemantauan serta pelaporan berkala oleh pengelola proyek; pengetahuan dan kepemilikan atas desain proyek harus tinggal di SAMPAN dan masyarakat, bukan pada pihak luar. Namun tanpa pendampingan ahli, dokumen berisiko direvisi berulang kali pada tahap review Plan Vivo maupun validasi, yang menambah biaya dan menunda akses pendanaan. Perhitungan karbon yang tidak tepat juga dapat menimbulkan klaim berlebih yang merugikan kredibilitas proyek. Selain itu, desain proyek perlu selaras dengan ketentuan nasional tentang Nilai Ekonomi Karbon, termasuk pencatatan pada Sistem Registri Nasional Pengendalian Perubahan Iklim (SRN-PPI).</w:t>
      </w:r>
    </w:p>
    <w:p>
      <w:pPr>
        <w:spacing w:after="200" w:line="300" w:lineRule="auto"/>
        <w:jc w:val="both"/>
        <w:rPr>
          <w:lang w:val="id-ID"/>
        </w:rPr>
      </w:pPr>
      <w:r>
        <w:rPr>
          <w:lang w:val="id-ID"/>
        </w:rPr>
        <w:t xml:space="preserve">Berdasarkan kondisi tersebut, SAMPAN Kalimantan akan melibatkan </w:t>
      </w:r>
      <w:r>
        <w:rPr>
          <w:b/>
          <w:bCs/>
          <w:lang w:val="id-ID"/>
        </w:rPr>
        <w:t xml:space="preserve">Tim Penasihat Teknis (Technical Advisory Team/TAT)</w:t>
      </w:r>
      <w:r>
        <w:rPr>
          <w:lang w:val="id-ID"/>
        </w:rPr>
        <w:t xml:space="preserve"> untuk mendampingi penyusunan PIN dan PDD. Seluruh penulisan dokumen dilakukan oleh tim SAMPAN; TAT berperan sebagai penasihat, pelatih, reviewer, dan penjamin mutu (QA/QC) yang memastikan setiap persyaratan PV Climate terpenuhi. Pendampingan dilakukan dengan pendekatan belajar sambil bekerja (learning by doing) melalui pelatihan, coaching berkala, review berjenjang, dan pendampingan lapangan di Desa Pasir. Kegiatan ini diharapkan menghasilkan PIN yang dapat diajukan kepada Plan Vivo Foundation dan PDD yang siap validasi, sekaligus tim SAMPAN yang mampu mengelola siklus proyek secara mandiri.</w:t>
      </w:r>
    </w:p>
    <w:p>
      <w:pPr>
        <w:pStyle w:val="DaftarParagraf"/>
        <w:keepNext/>
        <w:numPr>
          <w:ilvl w:val="0"/>
          <w:numId w:val="2"/>
        </w:numPr>
        <w:spacing w:before="320" w:after="140"/>
        <w:rPr>
          <w:lang w:val="id-ID"/>
        </w:rPr>
      </w:pPr>
      <w:r>
        <w:rPr>
          <w:b/>
          <w:bCs/>
          <w:sz w:val="26"/>
          <w:szCs w:val="26"/>
          <w:lang w:val="id-ID"/>
        </w:rPr>
        <w:t xml:space="preserve">Tujuan Kegiatan</w:t>
      </w:r>
    </w:p>
    <w:p>
      <w:pPr>
        <w:pStyle w:val="DaftarParagraf"/>
        <w:numPr>
          <w:ilvl w:val="0"/>
          <w:numId w:val="100"/>
        </w:numPr>
        <w:spacing w:after="120" w:line="300" w:lineRule="auto"/>
        <w:jc w:val="both"/>
        <w:rPr>
          <w:lang w:val="id-ID"/>
        </w:rPr>
      </w:pPr>
      <w:r>
        <w:rPr>
          <w:lang w:val="id-ID"/>
        </w:rPr>
        <w:t xml:space="preserve">Memperkuat pemahaman tim SAMPAN dan perwakilan masyarakat Desa Pasir tentang persyaratan Standar Plan Vivo (PV Climate) serta siklus proyek, mulai dari PIN, PDD, validasi, hingga verifikasi.</w:t>
      </w:r>
    </w:p>
    <w:p>
      <w:pPr>
        <w:pStyle w:val="DaftarParagraf"/>
        <w:numPr>
          <w:ilvl w:val="0"/>
          <w:numId w:val="100"/>
        </w:numPr>
        <w:spacing w:after="120" w:line="300" w:lineRule="auto"/>
        <w:jc w:val="both"/>
        <w:rPr>
          <w:lang w:val="id-ID"/>
        </w:rPr>
      </w:pPr>
      <w:r>
        <w:rPr>
          <w:lang w:val="id-ID"/>
        </w:rPr>
        <w:t xml:space="preserve">Meningkatkan kapasitas teknis tim SAMPAN dalam menyusun komponen PIN dan PDD, termasuk perhitungan karbon, rencana pemantauan, safeguards, dan mekanisme pembagian manfaat, melalui pelatihan dan pendampingan langsung.</w:t>
      </w:r>
    </w:p>
    <w:p>
      <w:pPr>
        <w:pStyle w:val="DaftarParagraf"/>
        <w:numPr>
          <w:ilvl w:val="0"/>
          <w:numId w:val="100"/>
        </w:numPr>
        <w:spacing w:after="120" w:line="300" w:lineRule="auto"/>
        <w:jc w:val="both"/>
        <w:rPr>
          <w:lang w:val="id-ID"/>
        </w:rPr>
      </w:pPr>
      <w:r>
        <w:rPr>
          <w:lang w:val="id-ID"/>
        </w:rPr>
        <w:t xml:space="preserve">Memastikan PIN dan PDD yang disusun tim SAMPAN memenuhi persyaratan PV Climate melalui review teknis dan QA/QC, sehingga PIN dapat diajukan kepada Plan Vivo Foundation dan PDD siap memasuki tahap validasi.</w:t>
      </w:r>
    </w:p>
    <w:p>
      <w:pPr>
        <w:pStyle w:val="DaftarParagraf"/>
        <w:keepNext/>
        <w:numPr>
          <w:ilvl w:val="0"/>
          <w:numId w:val="2"/>
        </w:numPr>
        <w:spacing w:before="320" w:after="140"/>
        <w:rPr>
          <w:lang w:val="id-ID"/>
        </w:rPr>
      </w:pPr>
      <w:r>
        <w:rPr>
          <w:b/>
          <w:bCs/>
          <w:sz w:val="26"/>
          <w:szCs w:val="26"/>
          <w:lang w:val="id-ID"/>
        </w:rPr>
        <w:t xml:space="preserve">Hasil yang Diharapkan</w:t>
      </w:r>
    </w:p>
    <w:p>
      <w:pPr>
        <w:pStyle w:val="DaftarParagraf"/>
        <w:numPr>
          <w:ilvl w:val="0"/>
          <w:numId w:val="101"/>
        </w:numPr>
        <w:spacing w:after="120" w:line="300" w:lineRule="auto"/>
        <w:jc w:val="both"/>
        <w:rPr>
          <w:lang w:val="id-ID"/>
        </w:rPr>
      </w:pPr>
      <w:r>
        <w:rPr>
          <w:lang w:val="id-ID"/>
        </w:rPr>
        <w:t xml:space="preserve">Tim SAMPAN (minimal </w:t>
      </w:r>
      <w:r>
        <w:rPr>
          <w:i/>
          <w:iCs/>
          <w:lang w:val="id-ID"/>
        </w:rPr>
        <w:t xml:space="preserve">[5]</w:t>
      </w:r>
      <w:r>
        <w:rPr>
          <w:lang w:val="id-ID"/>
        </w:rPr>
        <w:t xml:space="preserve"> orang) dan perwakilan masyarakat memahami persyaratan PV Climate dan alur sertifikasi, dibuktikan dengan laporan pelatihan dan hasil pre-test/post-test, serta tersedianya matriks analisis kesenjangan (gap analysis) kesiapan proyek.</w:t>
      </w:r>
    </w:p>
    <w:p>
      <w:pPr>
        <w:pStyle w:val="DaftarParagraf"/>
        <w:numPr>
          <w:ilvl w:val="0"/>
          <w:numId w:val="101"/>
        </w:numPr>
        <w:spacing w:after="120" w:line="300" w:lineRule="auto"/>
        <w:jc w:val="both"/>
        <w:rPr>
          <w:lang w:val="id-ID"/>
        </w:rPr>
      </w:pPr>
      <w:r>
        <w:rPr>
          <w:lang w:val="id-ID"/>
        </w:rPr>
        <w:t xml:space="preserve">Tim SAMPAN mampu menyusun sendiri setiap bab PIN dan PDD, termasuk menjalankan perhitungan karbon dan menyusun rencana pemantauan, dengan dukungan modul pelatihan, templat, dan alat bantu perhitungan yang dapat digunakan kembali.</w:t>
      </w:r>
    </w:p>
    <w:p>
      <w:pPr>
        <w:pStyle w:val="DaftarParagraf"/>
        <w:numPr>
          <w:ilvl w:val="0"/>
          <w:numId w:val="101"/>
        </w:numPr>
        <w:spacing w:after="120" w:line="300" w:lineRule="auto"/>
        <w:jc w:val="both"/>
        <w:rPr>
          <w:lang w:val="id-ID"/>
        </w:rPr>
      </w:pPr>
      <w:r>
        <w:rPr>
          <w:lang w:val="id-ID"/>
        </w:rPr>
        <w:t xml:space="preserve">PIN final yang telah lolos QA/QC dan diajukan kepada Plan Vivo Foundation beserta tanggapan atas hasil review-nya, serta PDD final yang telah lolos QA/QC dan dinyatakan siap validasi, dilengkapi matriks kepatuhan (compliance matrix) terhadap persyaratan PV Climate.</w:t>
      </w:r>
    </w:p>
    <w:p>
      <w:pPr>
        <w:pStyle w:val="DaftarParagraf"/>
        <w:keepNext/>
        <w:numPr>
          <w:ilvl w:val="0"/>
          <w:numId w:val="2"/>
        </w:numPr>
        <w:spacing w:before="320" w:after="140"/>
        <w:rPr>
          <w:lang w:val="id-ID"/>
        </w:rPr>
      </w:pPr>
      <w:r>
        <w:rPr>
          <w:b/>
          <w:bCs/>
          <w:sz w:val="26"/>
          <w:szCs w:val="26"/>
          <w:lang w:val="id-ID"/>
        </w:rPr>
        <w:t xml:space="preserve">Ruang Lingkup Pekerjaan dan Pembagian Peran</w:t>
      </w:r>
    </w:p>
    <w:p>
      <w:pPr>
        <w:spacing w:after="200" w:line="300" w:lineRule="auto"/>
        <w:jc w:val="both"/>
        <w:rPr>
          <w:lang w:val="id-ID"/>
        </w:rPr>
      </w:pPr>
      <w:r>
        <w:rPr>
          <w:lang w:val="id-ID"/>
        </w:rPr>
        <w:t xml:space="preserve">Pekerjaan ini menggunakan skema pendampingan: </w:t>
      </w:r>
      <w:r>
        <w:rPr>
          <w:b/>
          <w:bCs/>
          <w:lang w:val="id-ID"/>
        </w:rPr>
        <w:t xml:space="preserve">SAMPAN adalah penyusun sekaligus pemilik dokumen</w:t>
      </w:r>
      <w:r>
        <w:rPr>
          <w:lang w:val="id-ID"/>
        </w:rPr>
        <w:t xml:space="preserve">, sedangkan </w:t>
      </w:r>
      <w:r>
        <w:rPr>
          <w:b/>
          <w:bCs/>
          <w:lang w:val="id-ID"/>
        </w:rPr>
        <w:t xml:space="preserve">TAT berfungsi sebagai penasihat dan penjamin mutu</w:t>
      </w:r>
      <w:r>
        <w:rPr>
          <w:lang w:val="id-ID"/>
        </w:rPr>
        <w:t xml:space="preserve">. TAT tidak mengambil alih penulisan; apabila ditemukan kekurangan, TAT menjelaskan bagian yang belum memenuhi persyaratan dan cara memperbaikinya, kemudian tim SAMPAN melakukan perbaikan. Pembagian peran untuk setiap komponen pekerjaan adalah sebagai berikut.</w:t>
      </w:r>
    </w:p>
    <w:tbl>
      <w:tblPr>
        <w:tblW w:w="9026" w:type="dxa"/>
        <w:tblLayout w:type="fixed"/>
        <w:tblLook w:val="04A0" w:firstRow="1" w:lastRow="0" w:firstColumn="1" w:lastColumn="0" w:noHBand="0" w:noVBand="1"/>
      </w:tblPr>
      <w:tblGrid>
        <w:gridCol w:w="1900"/>
        <w:gridCol w:w="3563"/>
        <w:gridCol w:w="3563"/>
      </w:tblGrid>
      <w:tr>
        <w:trPr>
          <w:tblHeader/>
          <w:cantSplit/>
        </w:trPr>
        <w:tc>
          <w:tcPr>
            <w:tcW w:w="1900" w:type="dxa"/>
            <w:tcBorders>
              <w:top w:val="single" w:sz="4" w:space="0" w:color="999999"/>
              <w:left w:val="single" w:sz="4" w:space="0" w:color="999999"/>
              <w:bottom w:val="single" w:sz="4" w:space="0" w:color="999999"/>
              <w:right w:val="single" w:sz="4" w:space="0" w:color="999999"/>
            </w:tcBorders>
            <w:shd w:val="clear" w:color="auto" w:fill="D9D9D9"/>
            <w:tcMar>
              <w:top w:w="80" w:type="dxa"/>
              <w:left w:w="100" w:type="dxa"/>
              <w:bottom w:w="80" w:type="dxa"/>
              <w:right w:w="100" w:type="dxa"/>
            </w:tcMar>
            <w:vAlign w:val="center"/>
          </w:tcPr>
          <w:p>
            <w:pPr>
              <w:spacing w:after="40"/>
              <w:jc w:val="center"/>
              <w:rPr>
                <w:lang w:val="id-ID"/>
              </w:rPr>
            </w:pPr>
            <w:r>
              <w:rPr>
                <w:b/>
                <w:bCs/>
                <w:sz w:val="20"/>
                <w:szCs w:val="20"/>
                <w:lang w:val="id-ID"/>
              </w:rPr>
              <w:t xml:space="preserve">Komponen</w:t>
            </w:r>
          </w:p>
        </w:tc>
        <w:tc>
          <w:tcPr>
            <w:tcW w:w="3563" w:type="dxa"/>
            <w:tcBorders>
              <w:top w:val="single" w:sz="4" w:space="0" w:color="999999"/>
              <w:left w:val="single" w:sz="4" w:space="0" w:color="999999"/>
              <w:bottom w:val="single" w:sz="4" w:space="0" w:color="999999"/>
              <w:right w:val="single" w:sz="4" w:space="0" w:color="999999"/>
            </w:tcBorders>
            <w:shd w:val="clear" w:color="auto" w:fill="D9D9D9"/>
            <w:tcMar>
              <w:top w:w="80" w:type="dxa"/>
              <w:left w:w="100" w:type="dxa"/>
              <w:bottom w:w="80" w:type="dxa"/>
              <w:right w:w="100" w:type="dxa"/>
            </w:tcMar>
            <w:vAlign w:val="center"/>
          </w:tcPr>
          <w:p>
            <w:pPr>
              <w:spacing w:after="40"/>
              <w:jc w:val="center"/>
              <w:rPr>
                <w:lang w:val="id-ID"/>
              </w:rPr>
            </w:pPr>
            <w:r>
              <w:rPr>
                <w:b/>
                <w:bCs/>
                <w:sz w:val="20"/>
                <w:szCs w:val="20"/>
                <w:lang w:val="id-ID"/>
              </w:rPr>
              <w:t xml:space="preserve">Tim SAMPAN (Penyusun)</w:t>
            </w:r>
          </w:p>
        </w:tc>
        <w:tc>
          <w:tcPr>
            <w:tcW w:w="3563" w:type="dxa"/>
            <w:tcBorders>
              <w:top w:val="single" w:sz="4" w:space="0" w:color="999999"/>
              <w:left w:val="single" w:sz="4" w:space="0" w:color="999999"/>
              <w:bottom w:val="single" w:sz="4" w:space="0" w:color="999999"/>
              <w:right w:val="single" w:sz="4" w:space="0" w:color="999999"/>
            </w:tcBorders>
            <w:shd w:val="clear" w:color="auto" w:fill="D9D9D9"/>
            <w:tcMar>
              <w:top w:w="80" w:type="dxa"/>
              <w:left w:w="100" w:type="dxa"/>
              <w:bottom w:w="80" w:type="dxa"/>
              <w:right w:w="100" w:type="dxa"/>
            </w:tcMar>
            <w:vAlign w:val="center"/>
          </w:tcPr>
          <w:p>
            <w:pPr>
              <w:spacing w:after="40"/>
              <w:jc w:val="center"/>
              <w:rPr>
                <w:lang w:val="id-ID"/>
              </w:rPr>
            </w:pPr>
            <w:r>
              <w:rPr>
                <w:b/>
                <w:bCs/>
                <w:sz w:val="20"/>
                <w:szCs w:val="20"/>
                <w:lang w:val="id-ID"/>
              </w:rPr>
              <w:t xml:space="preserve">Tim Penasihat Teknis (TAT)</w:t>
            </w:r>
          </w:p>
        </w:tc>
      </w:tr>
      <w:tr>
        <w:trPr>
          <w:cantSplit/>
        </w:trPr>
        <w:tc>
          <w:tcPr>
            <w:tcW w:w="19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b/>
                <w:bCs/>
                <w:sz w:val="20"/>
                <w:szCs w:val="20"/>
                <w:lang w:val="id-ID"/>
              </w:rPr>
              <w:t xml:space="preserve">Perencanaan kerja</w:t>
            </w:r>
          </w:p>
        </w:tc>
        <w:tc>
          <w:tcPr>
            <w:tcW w:w="3563"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sz w:val="20"/>
                <w:szCs w:val="20"/>
                <w:lang w:val="id-ID"/>
              </w:rPr>
              <w:t xml:space="preserve">Menyusun rencana kerja dan pembagian tugas penulisan; menyediakan dokumen, peta, dan data yang sudah ada.</w:t>
            </w:r>
          </w:p>
        </w:tc>
        <w:tc>
          <w:tcPr>
            <w:tcW w:w="3563"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sz w:val="20"/>
                <w:szCs w:val="20"/>
                <w:lang w:val="id-ID"/>
              </w:rPr>
              <w:t xml:space="preserve">Melakukan analisis kesenjangan (gap analysis) terhadap persyaratan PV Climate; memberi masukan atas rencana kerja; menetapkan checklist QA/QC.</w:t>
            </w:r>
          </w:p>
        </w:tc>
      </w:tr>
      <w:tr>
        <w:trPr>
          <w:cantSplit/>
        </w:trPr>
        <w:tc>
          <w:tcPr>
            <w:tcW w:w="19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b/>
                <w:bCs/>
                <w:sz w:val="20"/>
                <w:szCs w:val="20"/>
                <w:lang w:val="id-ID"/>
              </w:rPr>
              <w:t xml:space="preserve">Peningkatan kapasitas</w:t>
            </w:r>
          </w:p>
        </w:tc>
        <w:tc>
          <w:tcPr>
            <w:tcW w:w="3563"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sz w:val="20"/>
                <w:szCs w:val="20"/>
                <w:lang w:val="id-ID"/>
              </w:rPr>
              <w:t xml:space="preserve">Mengikuti pelatihan dan menerapkannya langsung dalam penulisan.</w:t>
            </w:r>
          </w:p>
        </w:tc>
        <w:tc>
          <w:tcPr>
            <w:tcW w:w="3563"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sz w:val="20"/>
                <w:szCs w:val="20"/>
                <w:lang w:val="id-ID"/>
              </w:rPr>
              <w:t xml:space="preserve">Merancang dan menyampaikan pelatihan; menyediakan modul, templat, dan alat bantu perhitungan.</w:t>
            </w:r>
          </w:p>
        </w:tc>
      </w:tr>
      <w:tr>
        <w:trPr>
          <w:cantSplit/>
        </w:trPr>
        <w:tc>
          <w:tcPr>
            <w:tcW w:w="19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b/>
                <w:bCs/>
                <w:sz w:val="20"/>
                <w:szCs w:val="20"/>
                <w:lang w:val="id-ID"/>
              </w:rPr>
              <w:t xml:space="preserve">Penulisan PIN dan PDD</w:t>
            </w:r>
          </w:p>
        </w:tc>
        <w:tc>
          <w:tcPr>
            <w:tcW w:w="3563"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sz w:val="20"/>
                <w:szCs w:val="20"/>
                <w:lang w:val="id-ID"/>
              </w:rPr>
              <w:t xml:space="preserve">Menulis seluruh bab PIN dan PDD sesuai templat Plan Vivo.</w:t>
            </w:r>
          </w:p>
        </w:tc>
        <w:tc>
          <w:tcPr>
            <w:tcW w:w="3563"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sz w:val="20"/>
                <w:szCs w:val="20"/>
                <w:lang w:val="id-ID"/>
              </w:rPr>
              <w:t xml:space="preserve">Memberi arahan per bab, coaching, dan menjawab pertanyaan teknis.</w:t>
            </w:r>
          </w:p>
        </w:tc>
      </w:tr>
      <w:tr>
        <w:trPr>
          <w:cantSplit/>
        </w:trPr>
        <w:tc>
          <w:tcPr>
            <w:tcW w:w="19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b/>
                <w:bCs/>
                <w:sz w:val="20"/>
                <w:szCs w:val="20"/>
                <w:lang w:val="id-ID"/>
              </w:rPr>
              <w:t xml:space="preserve">Data dan perhitungan karbon</w:t>
            </w:r>
          </w:p>
        </w:tc>
        <w:tc>
          <w:tcPr>
            <w:tcW w:w="3563"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sz w:val="20"/>
                <w:szCs w:val="20"/>
                <w:lang w:val="id-ID"/>
              </w:rPr>
              <w:t xml:space="preserve">Melakukan inventarisasi lapangan, pemetaan, pengolahan data, dan perhitungan karbon.</w:t>
            </w:r>
          </w:p>
        </w:tc>
        <w:tc>
          <w:tcPr>
            <w:tcW w:w="3563"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sz w:val="20"/>
                <w:szCs w:val="20"/>
                <w:lang w:val="id-ID"/>
              </w:rPr>
              <w:t xml:space="preserve">Memeriksa desain sampling, pemilihan metodologi, dan perhitungan; melakukan perhitungan ulang atas sampel data (QA/QC).</w:t>
            </w:r>
          </w:p>
        </w:tc>
      </w:tr>
      <w:tr>
        <w:trPr>
          <w:cantSplit/>
        </w:trPr>
        <w:tc>
          <w:tcPr>
            <w:tcW w:w="19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b/>
                <w:bCs/>
                <w:sz w:val="20"/>
                <w:szCs w:val="20"/>
                <w:lang w:val="id-ID"/>
              </w:rPr>
              <w:t xml:space="preserve">Konsultasi masyarakat dan FPIC</w:t>
            </w:r>
          </w:p>
        </w:tc>
        <w:tc>
          <w:tcPr>
            <w:tcW w:w="3563"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sz w:val="20"/>
                <w:szCs w:val="20"/>
                <w:lang w:val="id-ID"/>
              </w:rPr>
              <w:t xml:space="preserve">Memfasilitasi proses PADIATAPA/FPIC, musyawarah desa, dan penyusunan kesepakatan tata kelola serta pembagian manfaat.</w:t>
            </w:r>
          </w:p>
        </w:tc>
        <w:tc>
          <w:tcPr>
            <w:tcW w:w="3563"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sz w:val="20"/>
                <w:szCs w:val="20"/>
                <w:lang w:val="id-ID"/>
              </w:rPr>
              <w:t xml:space="preserve">Memberi panduan proses dan memeriksa kecukupan dokumentasi terhadap persyaratan safeguards PV Climate.</w:t>
            </w:r>
          </w:p>
        </w:tc>
      </w:tr>
      <w:tr>
        <w:trPr>
          <w:cantSplit/>
        </w:trPr>
        <w:tc>
          <w:tcPr>
            <w:tcW w:w="19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b/>
                <w:bCs/>
                <w:sz w:val="20"/>
                <w:szCs w:val="20"/>
                <w:lang w:val="id-ID"/>
              </w:rPr>
              <w:t xml:space="preserve">Review dan QA/QC</w:t>
            </w:r>
          </w:p>
        </w:tc>
        <w:tc>
          <w:tcPr>
            <w:tcW w:w="3563"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sz w:val="20"/>
                <w:szCs w:val="20"/>
                <w:lang w:val="id-ID"/>
              </w:rPr>
              <w:t xml:space="preserve">Merevisi dokumen berdasarkan catatan review.</w:t>
            </w:r>
          </w:p>
        </w:tc>
        <w:tc>
          <w:tcPr>
            <w:tcW w:w="3563"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sz w:val="20"/>
                <w:szCs w:val="20"/>
                <w:lang w:val="id-ID"/>
              </w:rPr>
              <w:t xml:space="preserve">Memberi review tertulis paling lambat </w:t>
            </w:r>
            <w:r>
              <w:rPr>
                <w:i/>
                <w:iCs/>
                <w:sz w:val="20"/>
                <w:szCs w:val="20"/>
                <w:lang w:val="id-ID"/>
              </w:rPr>
              <w:t xml:space="preserve">[10]</w:t>
            </w:r>
            <w:r>
              <w:rPr>
                <w:sz w:val="20"/>
                <w:szCs w:val="20"/>
                <w:lang w:val="id-ID"/>
              </w:rPr>
              <w:t xml:space="preserve"> hari kerja setelah draf diterima; menerbitkan catatan QA/QC dan matriks kepatuhan.</w:t>
            </w:r>
          </w:p>
        </w:tc>
      </w:tr>
      <w:tr>
        <w:trPr>
          <w:cantSplit/>
        </w:trPr>
        <w:tc>
          <w:tcPr>
            <w:tcW w:w="19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b/>
                <w:bCs/>
                <w:sz w:val="20"/>
                <w:szCs w:val="20"/>
                <w:lang w:val="id-ID"/>
              </w:rPr>
              <w:t xml:space="preserve">Hubungan dengan Plan Vivo Foundation dan VVB</w:t>
            </w:r>
          </w:p>
        </w:tc>
        <w:tc>
          <w:tcPr>
            <w:tcW w:w="3563"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sz w:val="20"/>
                <w:szCs w:val="20"/>
                <w:lang w:val="id-ID"/>
              </w:rPr>
              <w:t xml:space="preserve">Mengajukan dokumen dan menjadi kontak resmi proyek.</w:t>
            </w:r>
          </w:p>
        </w:tc>
        <w:tc>
          <w:tcPr>
            <w:tcW w:w="3563"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sz w:val="20"/>
                <w:szCs w:val="20"/>
                <w:lang w:val="id-ID"/>
              </w:rPr>
              <w:t xml:space="preserve">Mendampingi penyusunan tanggapan atas hasil review dan persiapan validasi.</w:t>
            </w:r>
          </w:p>
        </w:tc>
      </w:tr>
    </w:tbl>
    <w:p>
      <w:pPr>
        <w:spacing w:after="60"/>
      </w:pPr>
    </w:p>
    <w:p>
      <w:pPr>
        <w:pStyle w:val="DaftarParagraf"/>
        <w:keepNext/>
        <w:numPr>
          <w:ilvl w:val="0"/>
          <w:numId w:val="2"/>
        </w:numPr>
        <w:spacing w:before="320" w:after="140"/>
        <w:rPr>
          <w:lang w:val="id-ID"/>
        </w:rPr>
      </w:pPr>
      <w:r>
        <w:rPr>
          <w:b/>
          <w:bCs/>
          <w:sz w:val="26"/>
          <w:szCs w:val="26"/>
          <w:lang w:val="id-ID"/>
        </w:rPr>
        <w:t xml:space="preserve">Metode/Bentuk Pelaksanaan</w:t>
      </w:r>
    </w:p>
    <w:p>
      <w:pPr>
        <w:spacing w:after="200" w:line="300" w:lineRule="auto"/>
        <w:jc w:val="both"/>
        <w:rPr>
          <w:lang w:val="id-ID"/>
        </w:rPr>
      </w:pPr>
      <w:r>
        <w:rPr>
          <w:lang w:val="id-ID"/>
        </w:rPr>
        <w:t xml:space="preserve">Pendampingan dilaksanakan secara bertahap mengikuti alur penyusunan dokumen, dengan kombinasi metode berikut:</w:t>
      </w:r>
    </w:p>
    <w:p>
      <w:pPr>
        <w:pStyle w:val="DaftarParagraf"/>
        <w:numPr>
          <w:ilvl w:val="0"/>
          <w:numId w:val="1"/>
        </w:numPr>
        <w:spacing w:after="120" w:line="300" w:lineRule="auto"/>
        <w:jc w:val="both"/>
        <w:rPr>
          <w:lang w:val="id-ID"/>
        </w:rPr>
      </w:pPr>
      <w:r>
        <w:rPr>
          <w:b/>
          <w:bCs/>
          <w:lang w:val="id-ID"/>
        </w:rPr>
        <w:t xml:space="preserve">Pelatihan terstruktur</w:t>
      </w:r>
      <w:r>
        <w:rPr>
          <w:lang w:val="id-ID"/>
        </w:rPr>
        <w:t xml:space="preserve"> (luring dan daring) tentang PV Climate, struktur PIN/PDD, metodologi karbon mangrove, safeguards, dan pembagian manfaat. Pelatihan dibagi dua tahap: dasar (sebelum penulisan PIN) dan teknis lanjutan (sebelum penulisan PDD).</w:t>
      </w:r>
    </w:p>
    <w:p>
      <w:pPr>
        <w:pStyle w:val="DaftarParagraf"/>
        <w:numPr>
          <w:ilvl w:val="0"/>
          <w:numId w:val="1"/>
        </w:numPr>
        <w:spacing w:after="120" w:line="300" w:lineRule="auto"/>
        <w:jc w:val="both"/>
        <w:rPr>
          <w:lang w:val="id-ID"/>
        </w:rPr>
      </w:pPr>
      <w:r>
        <w:rPr>
          <w:b/>
          <w:bCs/>
          <w:lang w:val="id-ID"/>
        </w:rPr>
        <w:t xml:space="preserve">Coaching dan klinik penulisan</w:t>
      </w:r>
      <w:r>
        <w:rPr>
          <w:lang w:val="id-ID"/>
        </w:rPr>
        <w:t xml:space="preserve"> secara berkala, sekurang-kurangnya dua minggu sekali secara daring, untuk membahas kemajuan dan kendala penulisan per bab.</w:t>
      </w:r>
    </w:p>
    <w:p>
      <w:pPr>
        <w:pStyle w:val="DaftarParagraf"/>
        <w:numPr>
          <w:ilvl w:val="0"/>
          <w:numId w:val="1"/>
        </w:numPr>
        <w:spacing w:after="120" w:line="300" w:lineRule="auto"/>
        <w:jc w:val="both"/>
        <w:rPr>
          <w:lang w:val="id-ID"/>
        </w:rPr>
      </w:pPr>
      <w:r>
        <w:rPr>
          <w:b/>
          <w:bCs/>
          <w:lang w:val="id-ID"/>
        </w:rPr>
        <w:t xml:space="preserve">Review berjenjang</w:t>
      </w:r>
      <w:r>
        <w:rPr>
          <w:lang w:val="id-ID"/>
        </w:rPr>
        <w:t xml:space="preserve"> atas setiap draf: draf pertama ditinjau dari sisi substansi, draf kedua dari sisi kepatuhan terhadap persyaratan (QA/QC), dan draf final mendapat pernyataan siap ajukan dari TAT.</w:t>
      </w:r>
    </w:p>
    <w:p>
      <w:pPr>
        <w:pStyle w:val="DaftarParagraf"/>
        <w:numPr>
          <w:ilvl w:val="0"/>
          <w:numId w:val="1"/>
        </w:numPr>
        <w:spacing w:after="120" w:line="300" w:lineRule="auto"/>
        <w:jc w:val="both"/>
        <w:rPr>
          <w:lang w:val="id-ID"/>
        </w:rPr>
      </w:pPr>
      <w:r>
        <w:rPr>
          <w:b/>
          <w:bCs/>
          <w:lang w:val="id-ID"/>
        </w:rPr>
        <w:t xml:space="preserve">Pendampingan lapangan</w:t>
      </w:r>
      <w:r>
        <w:rPr>
          <w:lang w:val="id-ID"/>
        </w:rPr>
        <w:t xml:space="preserve"> di Desa Pasir untuk uji coba plot sampling, pengecekan batas areal proyek, serta pendampingan konsultasi masyarakat.</w:t>
      </w:r>
    </w:p>
    <w:p>
      <w:pPr>
        <w:pStyle w:val="DaftarParagraf"/>
        <w:numPr>
          <w:ilvl w:val="0"/>
          <w:numId w:val="1"/>
        </w:numPr>
        <w:spacing w:after="120" w:line="300" w:lineRule="auto"/>
        <w:jc w:val="both"/>
        <w:rPr>
          <w:lang w:val="id-ID"/>
        </w:rPr>
      </w:pPr>
      <w:r>
        <w:rPr>
          <w:b/>
          <w:bCs/>
          <w:lang w:val="id-ID"/>
        </w:rPr>
        <w:t xml:space="preserve">QA/QC berbasis checklist</w:t>
      </w:r>
      <w:r>
        <w:rPr>
          <w:lang w:val="id-ID"/>
        </w:rPr>
        <w:t xml:space="preserve"> persyaratan PV Climate, termasuk pemeriksaan ulang perhitungan karbon dan konsistensi antara data, peta, dan narasi dokumen.</w:t>
      </w:r>
    </w:p>
    <w:p>
      <w:pPr>
        <w:pStyle w:val="DaftarParagraf"/>
        <w:keepNext/>
        <w:numPr>
          <w:ilvl w:val="0"/>
          <w:numId w:val="2"/>
        </w:numPr>
        <w:spacing w:before="320" w:after="140"/>
        <w:rPr>
          <w:lang w:val="id-ID"/>
        </w:rPr>
      </w:pPr>
      <w:r>
        <w:rPr>
          <w:b/>
          <w:bCs/>
          <w:sz w:val="26"/>
          <w:szCs w:val="26"/>
          <w:lang w:val="id-ID"/>
        </w:rPr>
        <w:t xml:space="preserve">Waktu dan Tempat Pelaksanaan</w:t>
      </w:r>
    </w:p>
    <w:tbl>
      <w:tblPr>
        <w:tblW w:w="9026" w:type="dxa"/>
        <w:tblLayout w:type="fixed"/>
        <w:tblLook w:val="04A0" w:firstRow="1" w:lastRow="0" w:firstColumn="1" w:lastColumn="0" w:noHBand="0" w:noVBand="1"/>
      </w:tblPr>
      <w:tblGrid>
        <w:gridCol w:w="2500"/>
        <w:gridCol w:w="6526"/>
      </w:tblGrid>
      <w:tr>
        <w:trPr>
          <w:cantSplit/>
        </w:trPr>
        <w:tc>
          <w:tcPr>
            <w:tcW w:w="2500" w:type="dxa"/>
            <w:tcBorders>
              <w:top w:val="single" w:sz="4" w:space="0" w:color="999999"/>
              <w:left w:val="single" w:sz="4" w:space="0" w:color="999999"/>
              <w:bottom w:val="single" w:sz="4" w:space="0" w:color="999999"/>
              <w:right w:val="single" w:sz="4" w:space="0" w:color="999999"/>
            </w:tcBorders>
            <w:shd w:val="clear" w:color="auto" w:fill="F2F2F2"/>
            <w:tcMar>
              <w:top w:w="100" w:type="dxa"/>
              <w:left w:w="120" w:type="dxa"/>
              <w:bottom w:w="100" w:type="dxa"/>
              <w:right w:w="120" w:type="dxa"/>
            </w:tcMar>
            <w:vAlign w:val="center"/>
          </w:tcPr>
          <w:p>
            <w:pPr>
              <w:spacing w:after="40"/>
              <w:rPr>
                <w:lang w:val="id-ID"/>
              </w:rPr>
            </w:pPr>
            <w:r>
              <w:rPr>
                <w:b/>
                <w:bCs/>
                <w:sz w:val="20"/>
                <w:szCs w:val="20"/>
                <w:lang w:val="id-ID"/>
              </w:rPr>
              <w:t xml:space="preserve">Periode</w:t>
            </w:r>
          </w:p>
        </w:tc>
        <w:tc>
          <w:tcPr>
            <w:tcW w:w="6526"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sz w:val="20"/>
                <w:szCs w:val="20"/>
                <w:lang w:val="id-ID"/>
              </w:rPr>
              <w:t xml:space="preserve">November 2026 – Juni 2027 (± 8 bulan), dapat disesuaikan dengan lama proses review oleh Plan Vivo Foundation</w:t>
            </w:r>
          </w:p>
        </w:tc>
      </w:tr>
      <w:tr>
        <w:trPr>
          <w:cantSplit/>
        </w:trPr>
        <w:tc>
          <w:tcPr>
            <w:tcW w:w="2500" w:type="dxa"/>
            <w:tcBorders>
              <w:top w:val="single" w:sz="4" w:space="0" w:color="999999"/>
              <w:left w:val="single" w:sz="4" w:space="0" w:color="999999"/>
              <w:bottom w:val="single" w:sz="4" w:space="0" w:color="999999"/>
              <w:right w:val="single" w:sz="4" w:space="0" w:color="999999"/>
            </w:tcBorders>
            <w:shd w:val="clear" w:color="auto" w:fill="F2F2F2"/>
            <w:tcMar>
              <w:top w:w="100" w:type="dxa"/>
              <w:left w:w="120" w:type="dxa"/>
              <w:bottom w:w="100" w:type="dxa"/>
              <w:right w:w="120" w:type="dxa"/>
            </w:tcMar>
            <w:vAlign w:val="center"/>
          </w:tcPr>
          <w:p>
            <w:pPr>
              <w:spacing w:after="40"/>
              <w:rPr>
                <w:lang w:val="id-ID"/>
              </w:rPr>
            </w:pPr>
            <w:r>
              <w:rPr>
                <w:b/>
                <w:bCs/>
                <w:sz w:val="20"/>
                <w:szCs w:val="20"/>
                <w:lang w:val="id-ID"/>
              </w:rPr>
              <w:t xml:space="preserve">Estimasi input TAT</w:t>
            </w:r>
          </w:p>
        </w:tc>
        <w:tc>
          <w:tcPr>
            <w:tcW w:w="6526"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i/>
                <w:iCs/>
                <w:sz w:val="20"/>
                <w:szCs w:val="20"/>
                <w:lang w:val="id-ID"/>
              </w:rPr>
              <w:t xml:space="preserve">[± 50–60]</w:t>
            </w:r>
            <w:r>
              <w:rPr>
                <w:sz w:val="20"/>
                <w:szCs w:val="20"/>
                <w:lang w:val="id-ID"/>
              </w:rPr>
              <w:t xml:space="preserve"> hari orang kerja (HOK), indikatif; rincian final mengikuti proposal teknis TAT</w:t>
            </w:r>
          </w:p>
        </w:tc>
      </w:tr>
      <w:tr>
        <w:trPr>
          <w:cantSplit/>
        </w:trPr>
        <w:tc>
          <w:tcPr>
            <w:tcW w:w="2500" w:type="dxa"/>
            <w:tcBorders>
              <w:top w:val="single" w:sz="4" w:space="0" w:color="999999"/>
              <w:left w:val="single" w:sz="4" w:space="0" w:color="999999"/>
              <w:bottom w:val="single" w:sz="4" w:space="0" w:color="999999"/>
              <w:right w:val="single" w:sz="4" w:space="0" w:color="999999"/>
            </w:tcBorders>
            <w:shd w:val="clear" w:color="auto" w:fill="F2F2F2"/>
            <w:tcMar>
              <w:top w:w="100" w:type="dxa"/>
              <w:left w:w="120" w:type="dxa"/>
              <w:bottom w:w="100" w:type="dxa"/>
              <w:right w:w="120" w:type="dxa"/>
            </w:tcMar>
            <w:vAlign w:val="center"/>
          </w:tcPr>
          <w:p>
            <w:pPr>
              <w:spacing w:after="40"/>
              <w:rPr>
                <w:lang w:val="id-ID"/>
              </w:rPr>
            </w:pPr>
            <w:r>
              <w:rPr>
                <w:b/>
                <w:bCs/>
                <w:sz w:val="20"/>
                <w:szCs w:val="20"/>
                <w:lang w:val="id-ID"/>
              </w:rPr>
              <w:t xml:space="preserve">Tempat</w:t>
            </w:r>
          </w:p>
        </w:tc>
        <w:tc>
          <w:tcPr>
            <w:tcW w:w="6526"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sz w:val="20"/>
                <w:szCs w:val="20"/>
                <w:lang w:val="id-ID"/>
              </w:rPr>
              <w:t xml:space="preserve">Kantor SAMPAN Kalimantan, Kabupaten Kubu Raya</w:t>
            </w:r>
          </w:p>
          <w:p>
            <w:pPr>
              <w:spacing w:after="40"/>
              <w:rPr>
                <w:lang w:val="id-ID"/>
              </w:rPr>
            </w:pPr>
            <w:r>
              <w:rPr>
                <w:sz w:val="20"/>
                <w:szCs w:val="20"/>
                <w:lang w:val="id-ID"/>
              </w:rPr>
              <w:t xml:space="preserve">Desa Pasir, Kecamatan Mempawah Hilir, Kabupaten Mempawah</w:t>
            </w:r>
          </w:p>
          <w:p>
            <w:pPr>
              <w:spacing w:after="40"/>
              <w:rPr>
                <w:lang w:val="id-ID"/>
              </w:rPr>
            </w:pPr>
            <w:r>
              <w:rPr>
                <w:sz w:val="20"/>
                <w:szCs w:val="20"/>
                <w:lang w:val="id-ID"/>
              </w:rPr>
              <w:t xml:space="preserve">Pertemuan daring untuk coaching dan review</w:t>
            </w:r>
          </w:p>
        </w:tc>
      </w:tr>
    </w:tbl>
    <w:p>
      <w:pPr>
        <w:spacing w:after="60"/>
      </w:pPr>
    </w:p>
    <w:p>
      <w:pPr>
        <w:pStyle w:val="DaftarParagraf"/>
        <w:keepNext/>
        <w:numPr>
          <w:ilvl w:val="0"/>
          <w:numId w:val="2"/>
        </w:numPr>
        <w:spacing w:before="320" w:after="140"/>
        <w:rPr>
          <w:lang w:val="id-ID"/>
        </w:rPr>
      </w:pPr>
      <w:r>
        <w:rPr>
          <w:b/>
          <w:bCs/>
          <w:sz w:val="26"/>
          <w:szCs w:val="26"/>
          <w:lang w:val="id-ID"/>
        </w:rPr>
        <w:t xml:space="preserve">Rencana Pelaksanaan</w:t>
      </w:r>
    </w:p>
    <w:tbl>
      <w:tblPr>
        <w:tblW w:w="9026" w:type="dxa"/>
        <w:tblLayout w:type="fixed"/>
        <w:tblLook w:val="04A0" w:firstRow="1" w:lastRow="0" w:firstColumn="1" w:lastColumn="0" w:noHBand="0" w:noVBand="1"/>
      </w:tblPr>
      <w:tblGrid>
        <w:gridCol w:w="600"/>
        <w:gridCol w:w="1300"/>
        <w:gridCol w:w="2150"/>
        <w:gridCol w:w="3576"/>
        <w:gridCol w:w="1400"/>
      </w:tblGrid>
      <w:tr>
        <w:trPr>
          <w:tblHeader/>
          <w:cantSplit/>
        </w:trPr>
        <w:tc>
          <w:tcPr>
            <w:tcW w:w="600" w:type="dxa"/>
            <w:tcBorders>
              <w:top w:val="single" w:sz="4" w:space="0" w:color="999999"/>
              <w:left w:val="single" w:sz="4" w:space="0" w:color="999999"/>
              <w:bottom w:val="single" w:sz="4" w:space="0" w:color="999999"/>
              <w:right w:val="single" w:sz="4" w:space="0" w:color="999999"/>
            </w:tcBorders>
            <w:shd w:val="clear" w:color="auto" w:fill="D9D9D9"/>
            <w:tcMar>
              <w:top w:w="80" w:type="dxa"/>
              <w:left w:w="100" w:type="dxa"/>
              <w:bottom w:w="80" w:type="dxa"/>
              <w:right w:w="100" w:type="dxa"/>
            </w:tcMar>
            <w:vAlign w:val="center"/>
          </w:tcPr>
          <w:p>
            <w:pPr>
              <w:spacing w:after="40"/>
              <w:jc w:val="center"/>
              <w:rPr>
                <w:lang w:val="id-ID"/>
              </w:rPr>
            </w:pPr>
            <w:r>
              <w:rPr>
                <w:b/>
                <w:bCs/>
                <w:sz w:val="20"/>
                <w:szCs w:val="20"/>
                <w:lang w:val="id-ID"/>
              </w:rPr>
              <w:t xml:space="preserve">No.</w:t>
            </w:r>
          </w:p>
        </w:tc>
        <w:tc>
          <w:tcPr>
            <w:tcW w:w="1300" w:type="dxa"/>
            <w:tcBorders>
              <w:top w:val="single" w:sz="4" w:space="0" w:color="999999"/>
              <w:left w:val="single" w:sz="4" w:space="0" w:color="999999"/>
              <w:bottom w:val="single" w:sz="4" w:space="0" w:color="999999"/>
              <w:right w:val="single" w:sz="4" w:space="0" w:color="999999"/>
            </w:tcBorders>
            <w:shd w:val="clear" w:color="auto" w:fill="D9D9D9"/>
            <w:tcMar>
              <w:top w:w="80" w:type="dxa"/>
              <w:left w:w="100" w:type="dxa"/>
              <w:bottom w:w="80" w:type="dxa"/>
              <w:right w:w="100" w:type="dxa"/>
            </w:tcMar>
            <w:vAlign w:val="center"/>
          </w:tcPr>
          <w:p>
            <w:pPr>
              <w:spacing w:after="40"/>
              <w:jc w:val="center"/>
              <w:rPr>
                <w:lang w:val="id-ID"/>
              </w:rPr>
            </w:pPr>
            <w:r>
              <w:rPr>
                <w:b/>
                <w:bCs/>
                <w:sz w:val="20"/>
                <w:szCs w:val="20"/>
                <w:lang w:val="id-ID"/>
              </w:rPr>
              <w:t xml:space="preserve">Waktu/Tahap</w:t>
            </w:r>
          </w:p>
        </w:tc>
        <w:tc>
          <w:tcPr>
            <w:tcW w:w="2150" w:type="dxa"/>
            <w:tcBorders>
              <w:top w:val="single" w:sz="4" w:space="0" w:color="999999"/>
              <w:left w:val="single" w:sz="4" w:space="0" w:color="999999"/>
              <w:bottom w:val="single" w:sz="4" w:space="0" w:color="999999"/>
              <w:right w:val="single" w:sz="4" w:space="0" w:color="999999"/>
            </w:tcBorders>
            <w:shd w:val="clear" w:color="auto" w:fill="D9D9D9"/>
            <w:tcMar>
              <w:top w:w="80" w:type="dxa"/>
              <w:left w:w="100" w:type="dxa"/>
              <w:bottom w:w="80" w:type="dxa"/>
              <w:right w:w="100" w:type="dxa"/>
            </w:tcMar>
            <w:vAlign w:val="center"/>
          </w:tcPr>
          <w:p>
            <w:pPr>
              <w:spacing w:after="40"/>
              <w:jc w:val="center"/>
              <w:rPr>
                <w:lang w:val="id-ID"/>
              </w:rPr>
            </w:pPr>
            <w:r>
              <w:rPr>
                <w:b/>
                <w:bCs/>
                <w:sz w:val="20"/>
                <w:szCs w:val="20"/>
                <w:lang w:val="id-ID"/>
              </w:rPr>
              <w:t xml:space="preserve">Kegiatan</w:t>
            </w:r>
          </w:p>
        </w:tc>
        <w:tc>
          <w:tcPr>
            <w:tcW w:w="3576" w:type="dxa"/>
            <w:tcBorders>
              <w:top w:val="single" w:sz="4" w:space="0" w:color="999999"/>
              <w:left w:val="single" w:sz="4" w:space="0" w:color="999999"/>
              <w:bottom w:val="single" w:sz="4" w:space="0" w:color="999999"/>
              <w:right w:val="single" w:sz="4" w:space="0" w:color="999999"/>
            </w:tcBorders>
            <w:shd w:val="clear" w:color="auto" w:fill="D9D9D9"/>
            <w:tcMar>
              <w:top w:w="80" w:type="dxa"/>
              <w:left w:w="100" w:type="dxa"/>
              <w:bottom w:w="80" w:type="dxa"/>
              <w:right w:w="100" w:type="dxa"/>
            </w:tcMar>
            <w:vAlign w:val="center"/>
          </w:tcPr>
          <w:p>
            <w:pPr>
              <w:spacing w:after="40"/>
              <w:jc w:val="center"/>
              <w:rPr>
                <w:lang w:val="id-ID"/>
              </w:rPr>
            </w:pPr>
            <w:r>
              <w:rPr>
                <w:b/>
                <w:bCs/>
                <w:sz w:val="20"/>
                <w:szCs w:val="20"/>
                <w:lang w:val="id-ID"/>
              </w:rPr>
              <w:t xml:space="preserve">Uraian/Output</w:t>
            </w:r>
          </w:p>
        </w:tc>
        <w:tc>
          <w:tcPr>
            <w:tcW w:w="1400" w:type="dxa"/>
            <w:tcBorders>
              <w:top w:val="single" w:sz="4" w:space="0" w:color="999999"/>
              <w:left w:val="single" w:sz="4" w:space="0" w:color="999999"/>
              <w:bottom w:val="single" w:sz="4" w:space="0" w:color="999999"/>
              <w:right w:val="single" w:sz="4" w:space="0" w:color="999999"/>
            </w:tcBorders>
            <w:shd w:val="clear" w:color="auto" w:fill="D9D9D9"/>
            <w:tcMar>
              <w:top w:w="80" w:type="dxa"/>
              <w:left w:w="100" w:type="dxa"/>
              <w:bottom w:w="80" w:type="dxa"/>
              <w:right w:w="100" w:type="dxa"/>
            </w:tcMar>
            <w:vAlign w:val="center"/>
          </w:tcPr>
          <w:p>
            <w:pPr>
              <w:spacing w:after="40"/>
              <w:jc w:val="center"/>
              <w:rPr>
                <w:lang w:val="id-ID"/>
              </w:rPr>
            </w:pPr>
            <w:r>
              <w:rPr>
                <w:b/>
                <w:bCs/>
                <w:sz w:val="20"/>
                <w:szCs w:val="20"/>
                <w:lang w:val="id-ID"/>
              </w:rPr>
              <w:t xml:space="preserve">Penanggung Jawab</w:t>
            </w:r>
          </w:p>
        </w:tc>
      </w:tr>
      <w:tr>
        <w:trPr>
          <w:cantSplit/>
        </w:trPr>
        <w:tc>
          <w:tcPr>
            <w:tcW w:w="6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jc w:val="center"/>
              <w:rPr>
                <w:lang w:val="id-ID"/>
              </w:rPr>
            </w:pPr>
            <w:r>
              <w:rPr>
                <w:b/>
                <w:bCs/>
                <w:sz w:val="20"/>
                <w:szCs w:val="20"/>
                <w:lang w:val="id-ID"/>
              </w:rPr>
              <w:t xml:space="preserve">1</w:t>
            </w:r>
          </w:p>
        </w:tc>
        <w:tc>
          <w:tcPr>
            <w:tcW w:w="13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sz w:val="20"/>
                <w:szCs w:val="20"/>
                <w:lang w:val="id-ID"/>
              </w:rPr>
              <w:t xml:space="preserve">Bulan 1 (Nov 2026)</w:t>
            </w:r>
          </w:p>
        </w:tc>
        <w:tc>
          <w:tcPr>
            <w:tcW w:w="215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sz w:val="20"/>
                <w:szCs w:val="20"/>
                <w:lang w:val="id-ID"/>
              </w:rPr>
              <w:t xml:space="preserve">Persiapan dan inception</w:t>
            </w:r>
          </w:p>
        </w:tc>
        <w:tc>
          <w:tcPr>
            <w:tcW w:w="3576"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sz w:val="20"/>
                <w:szCs w:val="20"/>
                <w:lang w:val="id-ID"/>
              </w:rPr>
              <w:t xml:space="preserve">Rapat awal, telaah dokumen dan data yang ada, analisis kesenjangan terhadap PV Climate, penyepakatan rencana kerja dan checklist QA/QC. Output: laporan inception dan matriks gap analysis.</w:t>
            </w:r>
          </w:p>
        </w:tc>
        <w:tc>
          <w:tcPr>
            <w:tcW w:w="14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sz w:val="20"/>
                <w:szCs w:val="20"/>
                <w:lang w:val="id-ID"/>
              </w:rPr>
              <w:t xml:space="preserve">TAT; Koordinator Program SAMPAN</w:t>
            </w:r>
          </w:p>
        </w:tc>
      </w:tr>
      <w:tr>
        <w:trPr>
          <w:cantSplit/>
        </w:trPr>
        <w:tc>
          <w:tcPr>
            <w:tcW w:w="6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jc w:val="center"/>
              <w:rPr>
                <w:lang w:val="id-ID"/>
              </w:rPr>
            </w:pPr>
            <w:r>
              <w:rPr>
                <w:b/>
                <w:bCs/>
                <w:sz w:val="20"/>
                <w:szCs w:val="20"/>
                <w:lang w:val="id-ID"/>
              </w:rPr>
              <w:t xml:space="preserve">2</w:t>
            </w:r>
          </w:p>
        </w:tc>
        <w:tc>
          <w:tcPr>
            <w:tcW w:w="13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sz w:val="20"/>
                <w:szCs w:val="20"/>
                <w:lang w:val="id-ID"/>
              </w:rPr>
              <w:t xml:space="preserve">Bulan 1 (Nov 2026)</w:t>
            </w:r>
          </w:p>
        </w:tc>
        <w:tc>
          <w:tcPr>
            <w:tcW w:w="215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sz w:val="20"/>
                <w:szCs w:val="20"/>
                <w:lang w:val="id-ID"/>
              </w:rPr>
              <w:t xml:space="preserve">Pelatihan tahap 1 (dasar)</w:t>
            </w:r>
          </w:p>
        </w:tc>
        <w:tc>
          <w:tcPr>
            <w:tcW w:w="3576"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sz w:val="20"/>
                <w:szCs w:val="20"/>
                <w:lang w:val="id-ID"/>
              </w:rPr>
              <w:t xml:space="preserve">PV Climate dan siklus proyek, struktur PIN, kelayakan dan additionality, gambaran safeguards dan FPIC. Output: modul dan laporan pelatihan.</w:t>
            </w:r>
          </w:p>
        </w:tc>
        <w:tc>
          <w:tcPr>
            <w:tcW w:w="14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sz w:val="20"/>
                <w:szCs w:val="20"/>
                <w:lang w:val="id-ID"/>
              </w:rPr>
              <w:t xml:space="preserve">TAT</w:t>
            </w:r>
          </w:p>
        </w:tc>
      </w:tr>
      <w:tr>
        <w:trPr>
          <w:cantSplit/>
        </w:trPr>
        <w:tc>
          <w:tcPr>
            <w:tcW w:w="6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jc w:val="center"/>
              <w:rPr>
                <w:lang w:val="id-ID"/>
              </w:rPr>
            </w:pPr>
            <w:r>
              <w:rPr>
                <w:b/>
                <w:bCs/>
                <w:sz w:val="20"/>
                <w:szCs w:val="20"/>
                <w:lang w:val="id-ID"/>
              </w:rPr>
              <w:t xml:space="preserve">3</w:t>
            </w:r>
          </w:p>
        </w:tc>
        <w:tc>
          <w:tcPr>
            <w:tcW w:w="13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sz w:val="20"/>
                <w:szCs w:val="20"/>
                <w:lang w:val="id-ID"/>
              </w:rPr>
              <w:t xml:space="preserve">Bulan 2–3 (Des 2026 – Jan 2027)</w:t>
            </w:r>
          </w:p>
        </w:tc>
        <w:tc>
          <w:tcPr>
            <w:tcW w:w="215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sz w:val="20"/>
                <w:szCs w:val="20"/>
                <w:lang w:val="id-ID"/>
              </w:rPr>
              <w:t xml:space="preserve">Penulisan PIN dengan pendampingan</w:t>
            </w:r>
          </w:p>
        </w:tc>
        <w:tc>
          <w:tcPr>
            <w:tcW w:w="3576"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sz w:val="20"/>
                <w:szCs w:val="20"/>
                <w:lang w:val="id-ID"/>
              </w:rPr>
              <w:t xml:space="preserve">Tim SAMPAN menulis PIN; coaching berkala; review draf 1 dan draf 2; QA/QC. Output: PIN final siap ajukan.</w:t>
            </w:r>
          </w:p>
        </w:tc>
        <w:tc>
          <w:tcPr>
            <w:tcW w:w="14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sz w:val="20"/>
                <w:szCs w:val="20"/>
                <w:lang w:val="id-ID"/>
              </w:rPr>
              <w:t xml:space="preserve">Tim SAMPAN; TAT (review)</w:t>
            </w:r>
          </w:p>
        </w:tc>
      </w:tr>
      <w:tr>
        <w:trPr>
          <w:cantSplit/>
        </w:trPr>
        <w:tc>
          <w:tcPr>
            <w:tcW w:w="6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jc w:val="center"/>
              <w:rPr>
                <w:lang w:val="id-ID"/>
              </w:rPr>
            </w:pPr>
            <w:r>
              <w:rPr>
                <w:b/>
                <w:bCs/>
                <w:sz w:val="20"/>
                <w:szCs w:val="20"/>
                <w:lang w:val="id-ID"/>
              </w:rPr>
              <w:t xml:space="preserve">4</w:t>
            </w:r>
          </w:p>
        </w:tc>
        <w:tc>
          <w:tcPr>
            <w:tcW w:w="13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sz w:val="20"/>
                <w:szCs w:val="20"/>
                <w:lang w:val="id-ID"/>
              </w:rPr>
              <w:t xml:space="preserve">Bulan 3–4 (Jan – Feb 2027)</w:t>
            </w:r>
          </w:p>
        </w:tc>
        <w:tc>
          <w:tcPr>
            <w:tcW w:w="215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sz w:val="20"/>
                <w:szCs w:val="20"/>
                <w:lang w:val="id-ID"/>
              </w:rPr>
              <w:t xml:space="preserve">Pengajuan PIN dan tindak lanjut review</w:t>
            </w:r>
          </w:p>
        </w:tc>
        <w:tc>
          <w:tcPr>
            <w:tcW w:w="3576"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sz w:val="20"/>
                <w:szCs w:val="20"/>
                <w:lang w:val="id-ID"/>
              </w:rPr>
              <w:t xml:space="preserve">Pengajuan PIN kepada Plan Vivo Foundation; penyusunan tanggapan atas hasil review. Output: matriks tanggapan review PIN.</w:t>
            </w:r>
          </w:p>
        </w:tc>
        <w:tc>
          <w:tcPr>
            <w:tcW w:w="14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sz w:val="20"/>
                <w:szCs w:val="20"/>
                <w:lang w:val="id-ID"/>
              </w:rPr>
              <w:t xml:space="preserve">SAMPAN; TAT (pendamping)</w:t>
            </w:r>
          </w:p>
        </w:tc>
      </w:tr>
      <w:tr>
        <w:trPr>
          <w:cantSplit/>
        </w:trPr>
        <w:tc>
          <w:tcPr>
            <w:tcW w:w="6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jc w:val="center"/>
              <w:rPr>
                <w:lang w:val="id-ID"/>
              </w:rPr>
            </w:pPr>
            <w:r>
              <w:rPr>
                <w:b/>
                <w:bCs/>
                <w:sz w:val="20"/>
                <w:szCs w:val="20"/>
                <w:lang w:val="id-ID"/>
              </w:rPr>
              <w:t xml:space="preserve">5</w:t>
            </w:r>
          </w:p>
        </w:tc>
        <w:tc>
          <w:tcPr>
            <w:tcW w:w="13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sz w:val="20"/>
                <w:szCs w:val="20"/>
                <w:lang w:val="id-ID"/>
              </w:rPr>
              <w:t xml:space="preserve">Bulan 4 (Feb – Mar 2027)</w:t>
            </w:r>
          </w:p>
        </w:tc>
        <w:tc>
          <w:tcPr>
            <w:tcW w:w="215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sz w:val="20"/>
                <w:szCs w:val="20"/>
                <w:lang w:val="id-ID"/>
              </w:rPr>
              <w:t xml:space="preserve">Pelatihan tahap 2 (teknis) dan pendampingan lapangan</w:t>
            </w:r>
          </w:p>
        </w:tc>
        <w:tc>
          <w:tcPr>
            <w:tcW w:w="3576"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sz w:val="20"/>
                <w:szCs w:val="20"/>
                <w:lang w:val="id-ID"/>
              </w:rPr>
              <w:t xml:space="preserve">Stratifikasi dan desain sampling, perhitungan karbon, leakage, risiko non-permanen, rencana pemantauan, tata kelola dan pembagian manfaat; uji coba plot di Desa Pasir. Output: laporan pelatihan dan protokol lapangan.</w:t>
            </w:r>
          </w:p>
        </w:tc>
        <w:tc>
          <w:tcPr>
            <w:tcW w:w="14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sz w:val="20"/>
                <w:szCs w:val="20"/>
                <w:lang w:val="id-ID"/>
              </w:rPr>
              <w:t xml:space="preserve">TAT; Tim SAMPAN</w:t>
            </w:r>
          </w:p>
        </w:tc>
      </w:tr>
      <w:tr>
        <w:trPr>
          <w:cantSplit/>
        </w:trPr>
        <w:tc>
          <w:tcPr>
            <w:tcW w:w="6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jc w:val="center"/>
              <w:rPr>
                <w:lang w:val="id-ID"/>
              </w:rPr>
            </w:pPr>
            <w:r>
              <w:rPr>
                <w:b/>
                <w:bCs/>
                <w:sz w:val="20"/>
                <w:szCs w:val="20"/>
                <w:lang w:val="id-ID"/>
              </w:rPr>
              <w:t xml:space="preserve">6</w:t>
            </w:r>
          </w:p>
        </w:tc>
        <w:tc>
          <w:tcPr>
            <w:tcW w:w="13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sz w:val="20"/>
                <w:szCs w:val="20"/>
                <w:lang w:val="id-ID"/>
              </w:rPr>
              <w:t xml:space="preserve">Bulan 4–7 (Mar – Mei 2027)</w:t>
            </w:r>
          </w:p>
        </w:tc>
        <w:tc>
          <w:tcPr>
            <w:tcW w:w="215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sz w:val="20"/>
                <w:szCs w:val="20"/>
                <w:lang w:val="id-ID"/>
              </w:rPr>
              <w:t xml:space="preserve">Penulisan PDD dengan pendampingan</w:t>
            </w:r>
          </w:p>
        </w:tc>
        <w:tc>
          <w:tcPr>
            <w:tcW w:w="3576"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sz w:val="20"/>
                <w:szCs w:val="20"/>
                <w:lang w:val="id-ID"/>
              </w:rPr>
              <w:t xml:space="preserve">Tim SAMPAN menulis PDD per bab; konsultasi masyarakat dan FPIC; review per bab dan QA/QC perhitungan karbon. Output: draf PDD lengkap dan catatan QA/QC.</w:t>
            </w:r>
          </w:p>
        </w:tc>
        <w:tc>
          <w:tcPr>
            <w:tcW w:w="14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sz w:val="20"/>
                <w:szCs w:val="20"/>
                <w:lang w:val="id-ID"/>
              </w:rPr>
              <w:t xml:space="preserve">Tim SAMPAN; TAT (review)</w:t>
            </w:r>
          </w:p>
        </w:tc>
      </w:tr>
      <w:tr>
        <w:trPr>
          <w:cantSplit/>
        </w:trPr>
        <w:tc>
          <w:tcPr>
            <w:tcW w:w="6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jc w:val="center"/>
              <w:rPr>
                <w:lang w:val="id-ID"/>
              </w:rPr>
            </w:pPr>
            <w:r>
              <w:rPr>
                <w:b/>
                <w:bCs/>
                <w:sz w:val="20"/>
                <w:szCs w:val="20"/>
                <w:lang w:val="id-ID"/>
              </w:rPr>
              <w:t xml:space="preserve">7</w:t>
            </w:r>
          </w:p>
        </w:tc>
        <w:tc>
          <w:tcPr>
            <w:tcW w:w="13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sz w:val="20"/>
                <w:szCs w:val="20"/>
                <w:lang w:val="id-ID"/>
              </w:rPr>
              <w:t xml:space="preserve">Bulan 8 (Jun 2027)</w:t>
            </w:r>
          </w:p>
        </w:tc>
        <w:tc>
          <w:tcPr>
            <w:tcW w:w="215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sz w:val="20"/>
                <w:szCs w:val="20"/>
                <w:lang w:val="id-ID"/>
              </w:rPr>
              <w:t xml:space="preserve">Finalisasi PDD dan kesiapan validasi</w:t>
            </w:r>
          </w:p>
        </w:tc>
        <w:tc>
          <w:tcPr>
            <w:tcW w:w="3576"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sz w:val="20"/>
                <w:szCs w:val="20"/>
                <w:lang w:val="id-ID"/>
              </w:rPr>
              <w:t xml:space="preserve">Review akhir, matriks kepatuhan PV Climate, pre-validation check. Output: PDD final siap validasi.</w:t>
            </w:r>
          </w:p>
        </w:tc>
        <w:tc>
          <w:tcPr>
            <w:tcW w:w="14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sz w:val="20"/>
                <w:szCs w:val="20"/>
                <w:lang w:val="id-ID"/>
              </w:rPr>
              <w:t xml:space="preserve">Tim SAMPAN; TAT (QA/QC)</w:t>
            </w:r>
          </w:p>
        </w:tc>
      </w:tr>
      <w:tr>
        <w:trPr>
          <w:cantSplit/>
        </w:trPr>
        <w:tc>
          <w:tcPr>
            <w:tcW w:w="6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jc w:val="center"/>
              <w:rPr>
                <w:lang w:val="id-ID"/>
              </w:rPr>
            </w:pPr>
            <w:r>
              <w:rPr>
                <w:b/>
                <w:bCs/>
                <w:sz w:val="20"/>
                <w:szCs w:val="20"/>
                <w:lang w:val="id-ID"/>
              </w:rPr>
              <w:t xml:space="preserve">8</w:t>
            </w:r>
          </w:p>
        </w:tc>
        <w:tc>
          <w:tcPr>
            <w:tcW w:w="13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sz w:val="20"/>
                <w:szCs w:val="20"/>
                <w:lang w:val="id-ID"/>
              </w:rPr>
              <w:t xml:space="preserve">Bulan 8 (Jun 2027)</w:t>
            </w:r>
          </w:p>
        </w:tc>
        <w:tc>
          <w:tcPr>
            <w:tcW w:w="215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sz w:val="20"/>
                <w:szCs w:val="20"/>
                <w:lang w:val="id-ID"/>
              </w:rPr>
              <w:t xml:space="preserve">Pelaporan akhir</w:t>
            </w:r>
          </w:p>
        </w:tc>
        <w:tc>
          <w:tcPr>
            <w:tcW w:w="3576"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sz w:val="20"/>
                <w:szCs w:val="20"/>
                <w:lang w:val="id-ID"/>
              </w:rPr>
              <w:t xml:space="preserve">Laporan akhir pendampingan, refleksi peningkatan kapasitas, dan rekomendasi tahap validasi dan pemantauan. Output: laporan akhir TAT.</w:t>
            </w:r>
          </w:p>
        </w:tc>
        <w:tc>
          <w:tcPr>
            <w:tcW w:w="14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sz w:val="20"/>
                <w:szCs w:val="20"/>
                <w:lang w:val="id-ID"/>
              </w:rPr>
              <w:t xml:space="preserve">TAT</w:t>
            </w:r>
          </w:p>
        </w:tc>
      </w:tr>
    </w:tbl>
    <w:p>
      <w:pPr>
        <w:spacing w:after="60"/>
      </w:pPr>
    </w:p>
    <w:p>
      <w:pPr>
        <w:pStyle w:val="DaftarParagraf"/>
        <w:keepNext/>
        <w:numPr>
          <w:ilvl w:val="0"/>
          <w:numId w:val="2"/>
        </w:numPr>
        <w:spacing w:before="320" w:after="140"/>
        <w:rPr>
          <w:lang w:val="id-ID"/>
        </w:rPr>
      </w:pPr>
      <w:r>
        <w:rPr>
          <w:b/>
          <w:bCs/>
          <w:sz w:val="26"/>
          <w:szCs w:val="26"/>
          <w:lang w:val="id-ID"/>
        </w:rPr>
        <w:t xml:space="preserve">Produk Keluaran dan Pelaporan</w:t>
      </w:r>
    </w:p>
    <w:p>
      <w:pPr>
        <w:spacing w:after="200" w:line="300" w:lineRule="auto"/>
        <w:jc w:val="both"/>
        <w:rPr>
          <w:lang w:val="id-ID"/>
        </w:rPr>
      </w:pPr>
      <w:r>
        <w:rPr>
          <w:lang w:val="id-ID"/>
        </w:rPr>
        <w:t xml:space="preserve">TAT menyerahkan produk keluaran berikut kepada SAMPAN Kalimantan. Pembayaran dilakukan berdasarkan produk yang telah diterima dan disetujui oleh SAMPAN; persentase di bawah bersifat indikatif dan akan ditetapkan dalam kontrak.</w:t>
      </w:r>
    </w:p>
    <w:tbl>
      <w:tblPr>
        <w:tblW w:w="9026" w:type="dxa"/>
        <w:tblLayout w:type="fixed"/>
        <w:tblLook w:val="04A0" w:firstRow="1" w:lastRow="0" w:firstColumn="1" w:lastColumn="0" w:noHBand="0" w:noVBand="1"/>
      </w:tblPr>
      <w:tblGrid>
        <w:gridCol w:w="600"/>
        <w:gridCol w:w="4626"/>
        <w:gridCol w:w="2200"/>
        <w:gridCol w:w="1600"/>
      </w:tblGrid>
      <w:tr>
        <w:trPr>
          <w:tblHeader/>
          <w:cantSplit/>
        </w:trPr>
        <w:tc>
          <w:tcPr>
            <w:tcW w:w="600" w:type="dxa"/>
            <w:tcBorders>
              <w:top w:val="single" w:sz="4" w:space="0" w:color="999999"/>
              <w:left w:val="single" w:sz="4" w:space="0" w:color="999999"/>
              <w:bottom w:val="single" w:sz="4" w:space="0" w:color="999999"/>
              <w:right w:val="single" w:sz="4" w:space="0" w:color="999999"/>
            </w:tcBorders>
            <w:shd w:val="clear" w:color="auto" w:fill="D9D9D9"/>
            <w:tcMar>
              <w:top w:w="80" w:type="dxa"/>
              <w:left w:w="100" w:type="dxa"/>
              <w:bottom w:w="80" w:type="dxa"/>
              <w:right w:w="100" w:type="dxa"/>
            </w:tcMar>
            <w:vAlign w:val="center"/>
          </w:tcPr>
          <w:p>
            <w:pPr>
              <w:spacing w:after="40"/>
              <w:jc w:val="center"/>
              <w:rPr>
                <w:lang w:val="id-ID"/>
              </w:rPr>
            </w:pPr>
            <w:r>
              <w:rPr>
                <w:b/>
                <w:bCs/>
                <w:sz w:val="20"/>
                <w:szCs w:val="20"/>
                <w:lang w:val="id-ID"/>
              </w:rPr>
              <w:t xml:space="preserve">No.</w:t>
            </w:r>
          </w:p>
        </w:tc>
        <w:tc>
          <w:tcPr>
            <w:tcW w:w="4626" w:type="dxa"/>
            <w:tcBorders>
              <w:top w:val="single" w:sz="4" w:space="0" w:color="999999"/>
              <w:left w:val="single" w:sz="4" w:space="0" w:color="999999"/>
              <w:bottom w:val="single" w:sz="4" w:space="0" w:color="999999"/>
              <w:right w:val="single" w:sz="4" w:space="0" w:color="999999"/>
            </w:tcBorders>
            <w:shd w:val="clear" w:color="auto" w:fill="D9D9D9"/>
            <w:tcMar>
              <w:top w:w="80" w:type="dxa"/>
              <w:left w:w="100" w:type="dxa"/>
              <w:bottom w:w="80" w:type="dxa"/>
              <w:right w:w="100" w:type="dxa"/>
            </w:tcMar>
            <w:vAlign w:val="center"/>
          </w:tcPr>
          <w:p>
            <w:pPr>
              <w:spacing w:after="40"/>
              <w:jc w:val="center"/>
              <w:rPr>
                <w:lang w:val="id-ID"/>
              </w:rPr>
            </w:pPr>
            <w:r>
              <w:rPr>
                <w:b/>
                <w:bCs/>
                <w:sz w:val="20"/>
                <w:szCs w:val="20"/>
                <w:lang w:val="id-ID"/>
              </w:rPr>
              <w:t xml:space="preserve">Produk Keluaran</w:t>
            </w:r>
          </w:p>
        </w:tc>
        <w:tc>
          <w:tcPr>
            <w:tcW w:w="2200" w:type="dxa"/>
            <w:tcBorders>
              <w:top w:val="single" w:sz="4" w:space="0" w:color="999999"/>
              <w:left w:val="single" w:sz="4" w:space="0" w:color="999999"/>
              <w:bottom w:val="single" w:sz="4" w:space="0" w:color="999999"/>
              <w:right w:val="single" w:sz="4" w:space="0" w:color="999999"/>
            </w:tcBorders>
            <w:shd w:val="clear" w:color="auto" w:fill="D9D9D9"/>
            <w:tcMar>
              <w:top w:w="80" w:type="dxa"/>
              <w:left w:w="100" w:type="dxa"/>
              <w:bottom w:w="80" w:type="dxa"/>
              <w:right w:w="100" w:type="dxa"/>
            </w:tcMar>
            <w:vAlign w:val="center"/>
          </w:tcPr>
          <w:p>
            <w:pPr>
              <w:spacing w:after="40"/>
              <w:jc w:val="center"/>
              <w:rPr>
                <w:lang w:val="id-ID"/>
              </w:rPr>
            </w:pPr>
            <w:r>
              <w:rPr>
                <w:b/>
                <w:bCs/>
                <w:sz w:val="20"/>
                <w:szCs w:val="20"/>
                <w:lang w:val="id-ID"/>
              </w:rPr>
              <w:t xml:space="preserve">Waktu Penyerahan</w:t>
            </w:r>
          </w:p>
        </w:tc>
        <w:tc>
          <w:tcPr>
            <w:tcW w:w="1600" w:type="dxa"/>
            <w:tcBorders>
              <w:top w:val="single" w:sz="4" w:space="0" w:color="999999"/>
              <w:left w:val="single" w:sz="4" w:space="0" w:color="999999"/>
              <w:bottom w:val="single" w:sz="4" w:space="0" w:color="999999"/>
              <w:right w:val="single" w:sz="4" w:space="0" w:color="999999"/>
            </w:tcBorders>
            <w:shd w:val="clear" w:color="auto" w:fill="D9D9D9"/>
            <w:tcMar>
              <w:top w:w="80" w:type="dxa"/>
              <w:left w:w="100" w:type="dxa"/>
              <w:bottom w:w="80" w:type="dxa"/>
              <w:right w:w="100" w:type="dxa"/>
            </w:tcMar>
            <w:vAlign w:val="center"/>
          </w:tcPr>
          <w:p>
            <w:pPr>
              <w:spacing w:after="40"/>
              <w:jc w:val="center"/>
              <w:rPr>
                <w:lang w:val="id-ID"/>
              </w:rPr>
            </w:pPr>
            <w:r>
              <w:rPr>
                <w:b/>
                <w:bCs/>
                <w:sz w:val="20"/>
                <w:szCs w:val="20"/>
                <w:lang w:val="id-ID"/>
              </w:rPr>
              <w:t xml:space="preserve">Pembayaran</w:t>
            </w:r>
          </w:p>
        </w:tc>
      </w:tr>
      <w:tr>
        <w:trPr>
          <w:cantSplit/>
        </w:trPr>
        <w:tc>
          <w:tcPr>
            <w:tcW w:w="6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jc w:val="center"/>
              <w:rPr>
                <w:lang w:val="id-ID"/>
              </w:rPr>
            </w:pPr>
            <w:r>
              <w:rPr>
                <w:b/>
                <w:bCs/>
                <w:sz w:val="20"/>
                <w:szCs w:val="20"/>
                <w:lang w:val="id-ID"/>
              </w:rPr>
              <w:t xml:space="preserve">1</w:t>
            </w:r>
          </w:p>
        </w:tc>
        <w:tc>
          <w:tcPr>
            <w:tcW w:w="4626"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sz w:val="20"/>
                <w:szCs w:val="20"/>
                <w:lang w:val="id-ID"/>
              </w:rPr>
              <w:t xml:space="preserve">Laporan inception: rencana kerja, matriks gap analysis, dan checklist QA/QC</w:t>
            </w:r>
          </w:p>
        </w:tc>
        <w:tc>
          <w:tcPr>
            <w:tcW w:w="22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sz w:val="20"/>
                <w:szCs w:val="20"/>
                <w:lang w:val="id-ID"/>
              </w:rPr>
              <w:t xml:space="preserve">Akhir Bulan 1</w:t>
            </w:r>
          </w:p>
        </w:tc>
        <w:tc>
          <w:tcPr>
            <w:tcW w:w="16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i/>
                <w:iCs/>
                <w:sz w:val="20"/>
                <w:szCs w:val="20"/>
                <w:lang w:val="id-ID"/>
              </w:rPr>
              <w:t xml:space="preserve">[15%]</w:t>
            </w:r>
          </w:p>
        </w:tc>
      </w:tr>
      <w:tr>
        <w:trPr>
          <w:cantSplit/>
        </w:trPr>
        <w:tc>
          <w:tcPr>
            <w:tcW w:w="6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jc w:val="center"/>
              <w:rPr>
                <w:lang w:val="id-ID"/>
              </w:rPr>
            </w:pPr>
            <w:r>
              <w:rPr>
                <w:b/>
                <w:bCs/>
                <w:sz w:val="20"/>
                <w:szCs w:val="20"/>
                <w:lang w:val="id-ID"/>
              </w:rPr>
              <w:t xml:space="preserve">2</w:t>
            </w:r>
          </w:p>
        </w:tc>
        <w:tc>
          <w:tcPr>
            <w:tcW w:w="4626"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sz w:val="20"/>
                <w:szCs w:val="20"/>
                <w:lang w:val="id-ID"/>
              </w:rPr>
              <w:t xml:space="preserve">Modul dan laporan pelatihan tahap 1</w:t>
            </w:r>
          </w:p>
        </w:tc>
        <w:tc>
          <w:tcPr>
            <w:tcW w:w="22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sz w:val="20"/>
                <w:szCs w:val="20"/>
                <w:lang w:val="id-ID"/>
              </w:rPr>
              <w:t xml:space="preserve">Akhir Bulan 1</w:t>
            </w:r>
          </w:p>
        </w:tc>
        <w:tc>
          <w:tcPr>
            <w:tcW w:w="16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i/>
                <w:iCs/>
                <w:sz w:val="20"/>
                <w:szCs w:val="20"/>
                <w:lang w:val="id-ID"/>
              </w:rPr>
              <w:t xml:space="preserve">[10%]</w:t>
            </w:r>
          </w:p>
        </w:tc>
      </w:tr>
      <w:tr>
        <w:trPr>
          <w:cantSplit/>
        </w:trPr>
        <w:tc>
          <w:tcPr>
            <w:tcW w:w="6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jc w:val="center"/>
              <w:rPr>
                <w:lang w:val="id-ID"/>
              </w:rPr>
            </w:pPr>
            <w:r>
              <w:rPr>
                <w:b/>
                <w:bCs/>
                <w:sz w:val="20"/>
                <w:szCs w:val="20"/>
                <w:lang w:val="id-ID"/>
              </w:rPr>
              <w:t xml:space="preserve">3</w:t>
            </w:r>
          </w:p>
        </w:tc>
        <w:tc>
          <w:tcPr>
            <w:tcW w:w="4626"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sz w:val="20"/>
                <w:szCs w:val="20"/>
                <w:lang w:val="id-ID"/>
              </w:rPr>
              <w:t xml:space="preserve">Catatan review dan QA/QC PIN, pernyataan PIN siap ajukan, serta matriks tanggapan atas review Plan Vivo</w:t>
            </w:r>
          </w:p>
        </w:tc>
        <w:tc>
          <w:tcPr>
            <w:tcW w:w="22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sz w:val="20"/>
                <w:szCs w:val="20"/>
                <w:lang w:val="id-ID"/>
              </w:rPr>
              <w:t xml:space="preserve">Bulan 3–4</w:t>
            </w:r>
          </w:p>
        </w:tc>
        <w:tc>
          <w:tcPr>
            <w:tcW w:w="16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i/>
                <w:iCs/>
                <w:sz w:val="20"/>
                <w:szCs w:val="20"/>
                <w:lang w:val="id-ID"/>
              </w:rPr>
              <w:t xml:space="preserve">[25%]</w:t>
            </w:r>
          </w:p>
        </w:tc>
      </w:tr>
      <w:tr>
        <w:trPr>
          <w:cantSplit/>
        </w:trPr>
        <w:tc>
          <w:tcPr>
            <w:tcW w:w="6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jc w:val="center"/>
              <w:rPr>
                <w:lang w:val="id-ID"/>
              </w:rPr>
            </w:pPr>
            <w:r>
              <w:rPr>
                <w:b/>
                <w:bCs/>
                <w:sz w:val="20"/>
                <w:szCs w:val="20"/>
                <w:lang w:val="id-ID"/>
              </w:rPr>
              <w:t xml:space="preserve">4</w:t>
            </w:r>
          </w:p>
        </w:tc>
        <w:tc>
          <w:tcPr>
            <w:tcW w:w="4626"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sz w:val="20"/>
                <w:szCs w:val="20"/>
                <w:lang w:val="id-ID"/>
              </w:rPr>
              <w:t xml:space="preserve">Modul dan laporan pelatihan tahap 2, protokol lapangan, laporan pendampingan lapangan</w:t>
            </w:r>
          </w:p>
        </w:tc>
        <w:tc>
          <w:tcPr>
            <w:tcW w:w="22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sz w:val="20"/>
                <w:szCs w:val="20"/>
                <w:lang w:val="id-ID"/>
              </w:rPr>
              <w:t xml:space="preserve">Bulan 4</w:t>
            </w:r>
          </w:p>
        </w:tc>
        <w:tc>
          <w:tcPr>
            <w:tcW w:w="16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i/>
                <w:iCs/>
                <w:sz w:val="20"/>
                <w:szCs w:val="20"/>
                <w:lang w:val="id-ID"/>
              </w:rPr>
              <w:t xml:space="preserve">[15%]</w:t>
            </w:r>
          </w:p>
        </w:tc>
      </w:tr>
      <w:tr>
        <w:trPr>
          <w:cantSplit/>
        </w:trPr>
        <w:tc>
          <w:tcPr>
            <w:tcW w:w="6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jc w:val="center"/>
              <w:rPr>
                <w:lang w:val="id-ID"/>
              </w:rPr>
            </w:pPr>
            <w:r>
              <w:rPr>
                <w:b/>
                <w:bCs/>
                <w:sz w:val="20"/>
                <w:szCs w:val="20"/>
                <w:lang w:val="id-ID"/>
              </w:rPr>
              <w:t xml:space="preserve">5</w:t>
            </w:r>
          </w:p>
        </w:tc>
        <w:tc>
          <w:tcPr>
            <w:tcW w:w="4626"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sz w:val="20"/>
                <w:szCs w:val="20"/>
                <w:lang w:val="id-ID"/>
              </w:rPr>
              <w:t xml:space="preserve">Catatan review per bab PDD, laporan QA/QC perhitungan karbon, matriks kepatuhan PV Climate, dan pernyataan PDD siap validasi</w:t>
            </w:r>
          </w:p>
        </w:tc>
        <w:tc>
          <w:tcPr>
            <w:tcW w:w="22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sz w:val="20"/>
                <w:szCs w:val="20"/>
                <w:lang w:val="id-ID"/>
              </w:rPr>
              <w:t xml:space="preserve">Bulan 8</w:t>
            </w:r>
          </w:p>
        </w:tc>
        <w:tc>
          <w:tcPr>
            <w:tcW w:w="16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i/>
                <w:iCs/>
                <w:sz w:val="20"/>
                <w:szCs w:val="20"/>
                <w:lang w:val="id-ID"/>
              </w:rPr>
              <w:t xml:space="preserve">[25%]</w:t>
            </w:r>
          </w:p>
        </w:tc>
      </w:tr>
      <w:tr>
        <w:trPr>
          <w:cantSplit/>
        </w:trPr>
        <w:tc>
          <w:tcPr>
            <w:tcW w:w="6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jc w:val="center"/>
              <w:rPr>
                <w:lang w:val="id-ID"/>
              </w:rPr>
            </w:pPr>
            <w:r>
              <w:rPr>
                <w:b/>
                <w:bCs/>
                <w:sz w:val="20"/>
                <w:szCs w:val="20"/>
                <w:lang w:val="id-ID"/>
              </w:rPr>
              <w:t xml:space="preserve">6</w:t>
            </w:r>
          </w:p>
        </w:tc>
        <w:tc>
          <w:tcPr>
            <w:tcW w:w="4626"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sz w:val="20"/>
                <w:szCs w:val="20"/>
                <w:lang w:val="id-ID"/>
              </w:rPr>
              <w:t xml:space="preserve">Laporan akhir pendampingan dan rekomendasi</w:t>
            </w:r>
          </w:p>
        </w:tc>
        <w:tc>
          <w:tcPr>
            <w:tcW w:w="22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sz w:val="20"/>
                <w:szCs w:val="20"/>
                <w:lang w:val="id-ID"/>
              </w:rPr>
              <w:t xml:space="preserve">Akhir Bulan 8</w:t>
            </w:r>
          </w:p>
        </w:tc>
        <w:tc>
          <w:tcPr>
            <w:tcW w:w="16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i/>
                <w:iCs/>
                <w:sz w:val="20"/>
                <w:szCs w:val="20"/>
                <w:lang w:val="id-ID"/>
              </w:rPr>
              <w:t xml:space="preserve">[10%]</w:t>
            </w:r>
          </w:p>
        </w:tc>
      </w:tr>
    </w:tbl>
    <w:p>
      <w:pPr>
        <w:spacing w:after="60"/>
      </w:pPr>
    </w:p>
    <w:p>
      <w:pPr>
        <w:spacing w:after="200" w:line="300" w:lineRule="auto"/>
        <w:jc w:val="both"/>
        <w:rPr>
          <w:lang w:val="id-ID"/>
        </w:rPr>
      </w:pPr>
      <w:r>
        <w:rPr>
          <w:lang w:val="id-ID"/>
        </w:rPr>
        <w:t xml:space="preserve">PIN dan PDD disusun oleh tim SAMPAN dalam Bahasa Inggris sesuai templat Plan Vivo; laporan TAT disusun dalam Bahasa Indonesia. Seluruh dokumen, data, peta, dan alat bantu perhitungan yang dihasilkan selama pekerjaan menjadi milik SAMPAN Kalimantan dan masyarakat Desa Pasir. TAT wajib menjaga kerahasiaan data proyek dan masyarakat.</w:t>
      </w:r>
    </w:p>
    <w:p>
      <w:pPr>
        <w:pStyle w:val="DaftarParagraf"/>
        <w:keepNext/>
        <w:numPr>
          <w:ilvl w:val="0"/>
          <w:numId w:val="2"/>
        </w:numPr>
        <w:spacing w:before="320" w:after="140"/>
        <w:rPr>
          <w:lang w:val="id-ID"/>
        </w:rPr>
      </w:pPr>
      <w:r>
        <w:rPr>
          <w:b/>
          <w:bCs/>
          <w:sz w:val="26"/>
          <w:szCs w:val="26"/>
          <w:lang w:val="id-ID"/>
        </w:rPr>
        <w:t xml:space="preserve">Pihak yang Terlibat</w:t>
      </w:r>
    </w:p>
    <w:tbl>
      <w:tblPr>
        <w:tblW w:w="9026" w:type="dxa"/>
        <w:tblLayout w:type="fixed"/>
        <w:tblLook w:val="04A0" w:firstRow="1" w:lastRow="0" w:firstColumn="1" w:lastColumn="0" w:noHBand="0" w:noVBand="1"/>
      </w:tblPr>
      <w:tblGrid>
        <w:gridCol w:w="600"/>
        <w:gridCol w:w="2400"/>
        <w:gridCol w:w="2700"/>
        <w:gridCol w:w="3326"/>
      </w:tblGrid>
      <w:tr>
        <w:trPr>
          <w:tblHeader/>
          <w:cantSplit/>
        </w:trPr>
        <w:tc>
          <w:tcPr>
            <w:tcW w:w="600" w:type="dxa"/>
            <w:tcBorders>
              <w:top w:val="single" w:sz="4" w:space="0" w:color="999999"/>
              <w:left w:val="single" w:sz="4" w:space="0" w:color="999999"/>
              <w:bottom w:val="single" w:sz="4" w:space="0" w:color="999999"/>
              <w:right w:val="single" w:sz="4" w:space="0" w:color="999999"/>
            </w:tcBorders>
            <w:shd w:val="clear" w:color="auto" w:fill="D9D9D9"/>
            <w:tcMar>
              <w:top w:w="80" w:type="dxa"/>
              <w:left w:w="100" w:type="dxa"/>
              <w:bottom w:w="80" w:type="dxa"/>
              <w:right w:w="100" w:type="dxa"/>
            </w:tcMar>
            <w:vAlign w:val="center"/>
          </w:tcPr>
          <w:p>
            <w:pPr>
              <w:spacing w:after="40"/>
              <w:jc w:val="center"/>
              <w:rPr>
                <w:lang w:val="id-ID"/>
              </w:rPr>
            </w:pPr>
            <w:r>
              <w:rPr>
                <w:b/>
                <w:bCs/>
                <w:sz w:val="20"/>
                <w:szCs w:val="20"/>
                <w:lang w:val="id-ID"/>
              </w:rPr>
              <w:t xml:space="preserve">No.</w:t>
            </w:r>
          </w:p>
        </w:tc>
        <w:tc>
          <w:tcPr>
            <w:tcW w:w="2400" w:type="dxa"/>
            <w:tcBorders>
              <w:top w:val="single" w:sz="4" w:space="0" w:color="999999"/>
              <w:left w:val="single" w:sz="4" w:space="0" w:color="999999"/>
              <w:bottom w:val="single" w:sz="4" w:space="0" w:color="999999"/>
              <w:right w:val="single" w:sz="4" w:space="0" w:color="999999"/>
            </w:tcBorders>
            <w:shd w:val="clear" w:color="auto" w:fill="D9D9D9"/>
            <w:tcMar>
              <w:top w:w="80" w:type="dxa"/>
              <w:left w:w="100" w:type="dxa"/>
              <w:bottom w:w="80" w:type="dxa"/>
              <w:right w:w="100" w:type="dxa"/>
            </w:tcMar>
            <w:vAlign w:val="center"/>
          </w:tcPr>
          <w:p>
            <w:pPr>
              <w:spacing w:after="40"/>
              <w:jc w:val="center"/>
              <w:rPr>
                <w:lang w:val="id-ID"/>
              </w:rPr>
            </w:pPr>
            <w:r>
              <w:rPr>
                <w:b/>
                <w:bCs/>
                <w:sz w:val="20"/>
                <w:szCs w:val="20"/>
                <w:lang w:val="id-ID"/>
              </w:rPr>
              <w:t xml:space="preserve">Nama</w:t>
            </w:r>
          </w:p>
        </w:tc>
        <w:tc>
          <w:tcPr>
            <w:tcW w:w="2700" w:type="dxa"/>
            <w:tcBorders>
              <w:top w:val="single" w:sz="4" w:space="0" w:color="999999"/>
              <w:left w:val="single" w:sz="4" w:space="0" w:color="999999"/>
              <w:bottom w:val="single" w:sz="4" w:space="0" w:color="999999"/>
              <w:right w:val="single" w:sz="4" w:space="0" w:color="999999"/>
            </w:tcBorders>
            <w:shd w:val="clear" w:color="auto" w:fill="D9D9D9"/>
            <w:tcMar>
              <w:top w:w="80" w:type="dxa"/>
              <w:left w:w="100" w:type="dxa"/>
              <w:bottom w:w="80" w:type="dxa"/>
              <w:right w:w="100" w:type="dxa"/>
            </w:tcMar>
            <w:vAlign w:val="center"/>
          </w:tcPr>
          <w:p>
            <w:pPr>
              <w:spacing w:after="40"/>
              <w:jc w:val="center"/>
              <w:rPr>
                <w:lang w:val="id-ID"/>
              </w:rPr>
            </w:pPr>
            <w:r>
              <w:rPr>
                <w:b/>
                <w:bCs/>
                <w:sz w:val="20"/>
                <w:szCs w:val="20"/>
                <w:lang w:val="id-ID"/>
              </w:rPr>
              <w:t xml:space="preserve">Lembaga/Kelompok</w:t>
            </w:r>
          </w:p>
        </w:tc>
        <w:tc>
          <w:tcPr>
            <w:tcW w:w="3326" w:type="dxa"/>
            <w:tcBorders>
              <w:top w:val="single" w:sz="4" w:space="0" w:color="999999"/>
              <w:left w:val="single" w:sz="4" w:space="0" w:color="999999"/>
              <w:bottom w:val="single" w:sz="4" w:space="0" w:color="999999"/>
              <w:right w:val="single" w:sz="4" w:space="0" w:color="999999"/>
            </w:tcBorders>
            <w:shd w:val="clear" w:color="auto" w:fill="D9D9D9"/>
            <w:tcMar>
              <w:top w:w="80" w:type="dxa"/>
              <w:left w:w="100" w:type="dxa"/>
              <w:bottom w:w="80" w:type="dxa"/>
              <w:right w:w="100" w:type="dxa"/>
            </w:tcMar>
            <w:vAlign w:val="center"/>
          </w:tcPr>
          <w:p>
            <w:pPr>
              <w:spacing w:after="40"/>
              <w:jc w:val="center"/>
              <w:rPr>
                <w:lang w:val="id-ID"/>
              </w:rPr>
            </w:pPr>
            <w:r>
              <w:rPr>
                <w:b/>
                <w:bCs/>
                <w:sz w:val="20"/>
                <w:szCs w:val="20"/>
                <w:lang w:val="id-ID"/>
              </w:rPr>
              <w:t xml:space="preserve">Peran</w:t>
            </w:r>
          </w:p>
        </w:tc>
      </w:tr>
      <w:tr>
        <w:trPr>
          <w:cantSplit/>
        </w:trPr>
        <w:tc>
          <w:tcPr>
            <w:tcW w:w="6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jc w:val="center"/>
              <w:rPr>
                <w:lang w:val="id-ID"/>
              </w:rPr>
            </w:pPr>
            <w:r>
              <w:rPr>
                <w:b/>
                <w:bCs/>
                <w:sz w:val="20"/>
                <w:szCs w:val="20"/>
                <w:lang w:val="id-ID"/>
              </w:rPr>
              <w:t xml:space="preserve">1</w:t>
            </w:r>
          </w:p>
        </w:tc>
        <w:tc>
          <w:tcPr>
            <w:tcW w:w="24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i/>
                <w:iCs/>
                <w:sz w:val="20"/>
                <w:szCs w:val="20"/>
                <w:lang w:val="id-ID"/>
              </w:rPr>
              <w:t xml:space="preserve">[Nama]</w:t>
            </w:r>
          </w:p>
        </w:tc>
        <w:tc>
          <w:tcPr>
            <w:tcW w:w="27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sz w:val="20"/>
                <w:szCs w:val="20"/>
                <w:lang w:val="id-ID"/>
              </w:rPr>
              <w:t xml:space="preserve">SAMPAN Kalimantan</w:t>
            </w:r>
          </w:p>
        </w:tc>
        <w:tc>
          <w:tcPr>
            <w:tcW w:w="3326"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sz w:val="20"/>
                <w:szCs w:val="20"/>
                <w:lang w:val="id-ID"/>
              </w:rPr>
              <w:t xml:space="preserve">Koordinator Program; penanggung jawab penyusunan PIN/PDD</w:t>
            </w:r>
          </w:p>
        </w:tc>
      </w:tr>
      <w:tr>
        <w:trPr>
          <w:cantSplit/>
        </w:trPr>
        <w:tc>
          <w:tcPr>
            <w:tcW w:w="6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jc w:val="center"/>
              <w:rPr>
                <w:lang w:val="id-ID"/>
              </w:rPr>
            </w:pPr>
            <w:r>
              <w:rPr>
                <w:b/>
                <w:bCs/>
                <w:sz w:val="20"/>
                <w:szCs w:val="20"/>
                <w:lang w:val="id-ID"/>
              </w:rPr>
              <w:t xml:space="preserve">2</w:t>
            </w:r>
          </w:p>
        </w:tc>
        <w:tc>
          <w:tcPr>
            <w:tcW w:w="24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i/>
                <w:iCs/>
                <w:sz w:val="20"/>
                <w:szCs w:val="20"/>
                <w:lang w:val="id-ID"/>
              </w:rPr>
              <w:t xml:space="preserve">[Nama]</w:t>
            </w:r>
          </w:p>
        </w:tc>
        <w:tc>
          <w:tcPr>
            <w:tcW w:w="27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sz w:val="20"/>
                <w:szCs w:val="20"/>
                <w:lang w:val="id-ID"/>
              </w:rPr>
              <w:t xml:space="preserve">SAMPAN Kalimantan</w:t>
            </w:r>
          </w:p>
        </w:tc>
        <w:tc>
          <w:tcPr>
            <w:tcW w:w="3326"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sz w:val="20"/>
                <w:szCs w:val="20"/>
                <w:lang w:val="id-ID"/>
              </w:rPr>
              <w:t xml:space="preserve">Staf teknis karbon/kehutanan; penulis bab teknis dan perhitungan karbon</w:t>
            </w:r>
          </w:p>
        </w:tc>
      </w:tr>
      <w:tr>
        <w:trPr>
          <w:cantSplit/>
        </w:trPr>
        <w:tc>
          <w:tcPr>
            <w:tcW w:w="6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jc w:val="center"/>
              <w:rPr>
                <w:lang w:val="id-ID"/>
              </w:rPr>
            </w:pPr>
            <w:r>
              <w:rPr>
                <w:b/>
                <w:bCs/>
                <w:sz w:val="20"/>
                <w:szCs w:val="20"/>
                <w:lang w:val="id-ID"/>
              </w:rPr>
              <w:t xml:space="preserve">3</w:t>
            </w:r>
          </w:p>
        </w:tc>
        <w:tc>
          <w:tcPr>
            <w:tcW w:w="24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i/>
                <w:iCs/>
                <w:sz w:val="20"/>
                <w:szCs w:val="20"/>
                <w:lang w:val="id-ID"/>
              </w:rPr>
              <w:t xml:space="preserve">[Nama]</w:t>
            </w:r>
          </w:p>
        </w:tc>
        <w:tc>
          <w:tcPr>
            <w:tcW w:w="27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sz w:val="20"/>
                <w:szCs w:val="20"/>
                <w:lang w:val="id-ID"/>
              </w:rPr>
              <w:t xml:space="preserve">SAMPAN Kalimantan</w:t>
            </w:r>
          </w:p>
        </w:tc>
        <w:tc>
          <w:tcPr>
            <w:tcW w:w="3326"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sz w:val="20"/>
                <w:szCs w:val="20"/>
                <w:lang w:val="id-ID"/>
              </w:rPr>
              <w:t xml:space="preserve">Staf GIS; pemetaan batas proyek dan analisis tutupan lahan</w:t>
            </w:r>
          </w:p>
        </w:tc>
      </w:tr>
      <w:tr>
        <w:trPr>
          <w:cantSplit/>
        </w:trPr>
        <w:tc>
          <w:tcPr>
            <w:tcW w:w="6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jc w:val="center"/>
              <w:rPr>
                <w:lang w:val="id-ID"/>
              </w:rPr>
            </w:pPr>
            <w:r>
              <w:rPr>
                <w:b/>
                <w:bCs/>
                <w:sz w:val="20"/>
                <w:szCs w:val="20"/>
                <w:lang w:val="id-ID"/>
              </w:rPr>
              <w:t xml:space="preserve">4</w:t>
            </w:r>
          </w:p>
        </w:tc>
        <w:tc>
          <w:tcPr>
            <w:tcW w:w="24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i/>
                <w:iCs/>
                <w:sz w:val="20"/>
                <w:szCs w:val="20"/>
                <w:lang w:val="id-ID"/>
              </w:rPr>
              <w:t xml:space="preserve">[Nama]</w:t>
            </w:r>
          </w:p>
        </w:tc>
        <w:tc>
          <w:tcPr>
            <w:tcW w:w="27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sz w:val="20"/>
                <w:szCs w:val="20"/>
                <w:lang w:val="id-ID"/>
              </w:rPr>
              <w:t xml:space="preserve">SAMPAN Kalimantan</w:t>
            </w:r>
          </w:p>
        </w:tc>
        <w:tc>
          <w:tcPr>
            <w:tcW w:w="3326"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sz w:val="20"/>
                <w:szCs w:val="20"/>
                <w:lang w:val="id-ID"/>
              </w:rPr>
              <w:t xml:space="preserve">Fasilitator lapangan; konsultasi masyarakat dan FPIC</w:t>
            </w:r>
          </w:p>
        </w:tc>
      </w:tr>
      <w:tr>
        <w:trPr>
          <w:cantSplit/>
        </w:trPr>
        <w:tc>
          <w:tcPr>
            <w:tcW w:w="6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jc w:val="center"/>
              <w:rPr>
                <w:lang w:val="id-ID"/>
              </w:rPr>
            </w:pPr>
            <w:r>
              <w:rPr>
                <w:b/>
                <w:bCs/>
                <w:sz w:val="20"/>
                <w:szCs w:val="20"/>
                <w:lang w:val="id-ID"/>
              </w:rPr>
              <w:t xml:space="preserve">5</w:t>
            </w:r>
          </w:p>
        </w:tc>
        <w:tc>
          <w:tcPr>
            <w:tcW w:w="24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i/>
                <w:iCs/>
                <w:sz w:val="20"/>
                <w:szCs w:val="20"/>
                <w:lang w:val="id-ID"/>
              </w:rPr>
              <w:t xml:space="preserve">[Nama]</w:t>
            </w:r>
          </w:p>
        </w:tc>
        <w:tc>
          <w:tcPr>
            <w:tcW w:w="27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sz w:val="20"/>
                <w:szCs w:val="20"/>
                <w:lang w:val="id-ID"/>
              </w:rPr>
              <w:t xml:space="preserve">Pemerintah Desa Pasir</w:t>
            </w:r>
          </w:p>
        </w:tc>
        <w:tc>
          <w:tcPr>
            <w:tcW w:w="3326"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sz w:val="20"/>
                <w:szCs w:val="20"/>
                <w:lang w:val="id-ID"/>
              </w:rPr>
              <w:t xml:space="preserve">Mitra desa; dukungan legalitas dan musyawarah desa</w:t>
            </w:r>
          </w:p>
        </w:tc>
      </w:tr>
      <w:tr>
        <w:trPr>
          <w:cantSplit/>
        </w:trPr>
        <w:tc>
          <w:tcPr>
            <w:tcW w:w="6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jc w:val="center"/>
              <w:rPr>
                <w:lang w:val="id-ID"/>
              </w:rPr>
            </w:pPr>
            <w:r>
              <w:rPr>
                <w:b/>
                <w:bCs/>
                <w:sz w:val="20"/>
                <w:szCs w:val="20"/>
                <w:lang w:val="id-ID"/>
              </w:rPr>
              <w:t xml:space="preserve">6</w:t>
            </w:r>
          </w:p>
        </w:tc>
        <w:tc>
          <w:tcPr>
            <w:tcW w:w="24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i/>
                <w:iCs/>
                <w:sz w:val="20"/>
                <w:szCs w:val="20"/>
                <w:lang w:val="id-ID"/>
              </w:rPr>
              <w:t xml:space="preserve">[Nama]</w:t>
            </w:r>
          </w:p>
        </w:tc>
        <w:tc>
          <w:tcPr>
            <w:tcW w:w="27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i/>
                <w:iCs/>
                <w:sz w:val="20"/>
                <w:szCs w:val="20"/>
                <w:lang w:val="id-ID"/>
              </w:rPr>
              <w:t xml:space="preserve">[Kelompok pengelola mangrove]</w:t>
            </w:r>
          </w:p>
        </w:tc>
        <w:tc>
          <w:tcPr>
            <w:tcW w:w="3326"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sz w:val="20"/>
                <w:szCs w:val="20"/>
                <w:lang w:val="id-ID"/>
              </w:rPr>
              <w:t xml:space="preserve">Perwakilan masyarakat pengelola proyek; peserta pelatihan</w:t>
            </w:r>
          </w:p>
        </w:tc>
      </w:tr>
    </w:tbl>
    <w:p>
      <w:pPr>
        <w:spacing w:after="60"/>
      </w:pPr>
    </w:p>
    <w:p>
      <w:pPr>
        <w:pStyle w:val="DaftarParagraf"/>
        <w:keepNext/>
        <w:numPr>
          <w:ilvl w:val="0"/>
          <w:numId w:val="2"/>
        </w:numPr>
        <w:spacing w:before="320" w:after="140"/>
        <w:rPr>
          <w:lang w:val="id-ID"/>
        </w:rPr>
      </w:pPr>
      <w:r>
        <w:rPr>
          <w:b/>
          <w:bCs/>
          <w:sz w:val="26"/>
          <w:szCs w:val="26"/>
          <w:lang w:val="id-ID"/>
        </w:rPr>
        <w:t xml:space="preserve">Komposisi dan Kualifikasi Tim Penasihat Teknis</w:t>
      </w:r>
    </w:p>
    <w:p>
      <w:pPr>
        <w:spacing w:after="200" w:line="300" w:lineRule="auto"/>
        <w:jc w:val="both"/>
        <w:rPr>
          <w:lang w:val="id-ID"/>
        </w:rPr>
      </w:pPr>
      <w:r>
        <w:rPr>
          <w:lang w:val="id-ID"/>
        </w:rPr>
        <w:t xml:space="preserve">TAT disediakan oleh </w:t>
      </w:r>
      <w:r>
        <w:rPr>
          <w:i/>
          <w:iCs/>
          <w:lang w:val="id-ID"/>
        </w:rPr>
        <w:t xml:space="preserve">[nama konsultan/lembaga]</w:t>
      </w:r>
      <w:r>
        <w:rPr>
          <w:lang w:val="id-ID"/>
        </w:rPr>
        <w:t xml:space="preserve"> dengan komposisi minimal sebagai berikut. Komposisi dapat disesuaikan dalam proposal teknis selama seluruh keahlian tercakup.</w:t>
      </w:r>
    </w:p>
    <w:tbl>
      <w:tblPr>
        <w:tblW w:w="9026" w:type="dxa"/>
        <w:tblLayout w:type="fixed"/>
        <w:tblLook w:val="04A0" w:firstRow="1" w:lastRow="0" w:firstColumn="1" w:lastColumn="0" w:noHBand="0" w:noVBand="1"/>
      </w:tblPr>
      <w:tblGrid>
        <w:gridCol w:w="600"/>
        <w:gridCol w:w="2100"/>
        <w:gridCol w:w="3626"/>
        <w:gridCol w:w="2700"/>
      </w:tblGrid>
      <w:tr>
        <w:trPr>
          <w:tblHeader/>
          <w:cantSplit/>
        </w:trPr>
        <w:tc>
          <w:tcPr>
            <w:tcW w:w="600" w:type="dxa"/>
            <w:tcBorders>
              <w:top w:val="single" w:sz="4" w:space="0" w:color="999999"/>
              <w:left w:val="single" w:sz="4" w:space="0" w:color="999999"/>
              <w:bottom w:val="single" w:sz="4" w:space="0" w:color="999999"/>
              <w:right w:val="single" w:sz="4" w:space="0" w:color="999999"/>
            </w:tcBorders>
            <w:shd w:val="clear" w:color="auto" w:fill="D9D9D9"/>
            <w:tcMar>
              <w:top w:w="80" w:type="dxa"/>
              <w:left w:w="100" w:type="dxa"/>
              <w:bottom w:w="80" w:type="dxa"/>
              <w:right w:w="100" w:type="dxa"/>
            </w:tcMar>
            <w:vAlign w:val="center"/>
          </w:tcPr>
          <w:p>
            <w:pPr>
              <w:spacing w:after="40"/>
              <w:jc w:val="center"/>
              <w:rPr>
                <w:lang w:val="id-ID"/>
              </w:rPr>
            </w:pPr>
            <w:r>
              <w:rPr>
                <w:b/>
                <w:bCs/>
                <w:sz w:val="20"/>
                <w:szCs w:val="20"/>
                <w:lang w:val="id-ID"/>
              </w:rPr>
              <w:t xml:space="preserve">No.</w:t>
            </w:r>
          </w:p>
        </w:tc>
        <w:tc>
          <w:tcPr>
            <w:tcW w:w="2100" w:type="dxa"/>
            <w:tcBorders>
              <w:top w:val="single" w:sz="4" w:space="0" w:color="999999"/>
              <w:left w:val="single" w:sz="4" w:space="0" w:color="999999"/>
              <w:bottom w:val="single" w:sz="4" w:space="0" w:color="999999"/>
              <w:right w:val="single" w:sz="4" w:space="0" w:color="999999"/>
            </w:tcBorders>
            <w:shd w:val="clear" w:color="auto" w:fill="D9D9D9"/>
            <w:tcMar>
              <w:top w:w="80" w:type="dxa"/>
              <w:left w:w="100" w:type="dxa"/>
              <w:bottom w:w="80" w:type="dxa"/>
              <w:right w:w="100" w:type="dxa"/>
            </w:tcMar>
            <w:vAlign w:val="center"/>
          </w:tcPr>
          <w:p>
            <w:pPr>
              <w:spacing w:after="40"/>
              <w:jc w:val="center"/>
              <w:rPr>
                <w:lang w:val="id-ID"/>
              </w:rPr>
            </w:pPr>
            <w:r>
              <w:rPr>
                <w:b/>
                <w:bCs/>
                <w:sz w:val="20"/>
                <w:szCs w:val="20"/>
                <w:lang w:val="id-ID"/>
              </w:rPr>
              <w:t xml:space="preserve">Posisi</w:t>
            </w:r>
          </w:p>
        </w:tc>
        <w:tc>
          <w:tcPr>
            <w:tcW w:w="3626" w:type="dxa"/>
            <w:tcBorders>
              <w:top w:val="single" w:sz="4" w:space="0" w:color="999999"/>
              <w:left w:val="single" w:sz="4" w:space="0" w:color="999999"/>
              <w:bottom w:val="single" w:sz="4" w:space="0" w:color="999999"/>
              <w:right w:val="single" w:sz="4" w:space="0" w:color="999999"/>
            </w:tcBorders>
            <w:shd w:val="clear" w:color="auto" w:fill="D9D9D9"/>
            <w:tcMar>
              <w:top w:w="80" w:type="dxa"/>
              <w:left w:w="100" w:type="dxa"/>
              <w:bottom w:w="80" w:type="dxa"/>
              <w:right w:w="100" w:type="dxa"/>
            </w:tcMar>
            <w:vAlign w:val="center"/>
          </w:tcPr>
          <w:p>
            <w:pPr>
              <w:spacing w:after="40"/>
              <w:jc w:val="center"/>
              <w:rPr>
                <w:lang w:val="id-ID"/>
              </w:rPr>
            </w:pPr>
            <w:r>
              <w:rPr>
                <w:b/>
                <w:bCs/>
                <w:sz w:val="20"/>
                <w:szCs w:val="20"/>
                <w:lang w:val="id-ID"/>
              </w:rPr>
              <w:t xml:space="preserve">Kualifikasi</w:t>
            </w:r>
          </w:p>
        </w:tc>
        <w:tc>
          <w:tcPr>
            <w:tcW w:w="2700" w:type="dxa"/>
            <w:tcBorders>
              <w:top w:val="single" w:sz="4" w:space="0" w:color="999999"/>
              <w:left w:val="single" w:sz="4" w:space="0" w:color="999999"/>
              <w:bottom w:val="single" w:sz="4" w:space="0" w:color="999999"/>
              <w:right w:val="single" w:sz="4" w:space="0" w:color="999999"/>
            </w:tcBorders>
            <w:shd w:val="clear" w:color="auto" w:fill="D9D9D9"/>
            <w:tcMar>
              <w:top w:w="80" w:type="dxa"/>
              <w:left w:w="100" w:type="dxa"/>
              <w:bottom w:w="80" w:type="dxa"/>
              <w:right w:w="100" w:type="dxa"/>
            </w:tcMar>
            <w:vAlign w:val="center"/>
          </w:tcPr>
          <w:p>
            <w:pPr>
              <w:spacing w:after="40"/>
              <w:jc w:val="center"/>
              <w:rPr>
                <w:lang w:val="id-ID"/>
              </w:rPr>
            </w:pPr>
            <w:r>
              <w:rPr>
                <w:b/>
                <w:bCs/>
                <w:sz w:val="20"/>
                <w:szCs w:val="20"/>
                <w:lang w:val="id-ID"/>
              </w:rPr>
              <w:t xml:space="preserve">Peran</w:t>
            </w:r>
          </w:p>
        </w:tc>
      </w:tr>
      <w:tr>
        <w:trPr>
          <w:cantSplit/>
        </w:trPr>
        <w:tc>
          <w:tcPr>
            <w:tcW w:w="6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jc w:val="center"/>
              <w:rPr>
                <w:lang w:val="id-ID"/>
              </w:rPr>
            </w:pPr>
            <w:r>
              <w:rPr>
                <w:b/>
                <w:bCs/>
                <w:sz w:val="20"/>
                <w:szCs w:val="20"/>
                <w:lang w:val="id-ID"/>
              </w:rPr>
              <w:t xml:space="preserve">1</w:t>
            </w:r>
          </w:p>
        </w:tc>
        <w:tc>
          <w:tcPr>
            <w:tcW w:w="21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sz w:val="20"/>
                <w:szCs w:val="20"/>
                <w:lang w:val="id-ID"/>
              </w:rPr>
              <w:t xml:space="preserve">Ketua Tim / Ahli Standar Karbon</w:t>
            </w:r>
          </w:p>
        </w:tc>
        <w:tc>
          <w:tcPr>
            <w:tcW w:w="3626"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sz w:val="20"/>
                <w:szCs w:val="20"/>
                <w:lang w:val="id-ID"/>
              </w:rPr>
              <w:t xml:space="preserve">Pengalaman minimal </w:t>
            </w:r>
            <w:r>
              <w:rPr>
                <w:i/>
                <w:iCs/>
                <w:sz w:val="20"/>
                <w:szCs w:val="20"/>
                <w:lang w:val="id-ID"/>
              </w:rPr>
              <w:t xml:space="preserve">[5]</w:t>
            </w:r>
            <w:r>
              <w:rPr>
                <w:sz w:val="20"/>
                <w:szCs w:val="20"/>
                <w:lang w:val="id-ID"/>
              </w:rPr>
              <w:t xml:space="preserve"> tahun di pasar karbon sukarela; pernah menyusun atau mereview minimal </w:t>
            </w:r>
            <w:r>
              <w:rPr>
                <w:i/>
                <w:iCs/>
                <w:sz w:val="20"/>
                <w:szCs w:val="20"/>
                <w:lang w:val="id-ID"/>
              </w:rPr>
              <w:t xml:space="preserve">[2]</w:t>
            </w:r>
            <w:r>
              <w:rPr>
                <w:sz w:val="20"/>
                <w:szCs w:val="20"/>
                <w:lang w:val="id-ID"/>
              </w:rPr>
              <w:t xml:space="preserve"> PIN/PDD pada Plan Vivo atau standar setara; memahami regulasi karbon nasional.</w:t>
            </w:r>
          </w:p>
        </w:tc>
        <w:tc>
          <w:tcPr>
            <w:tcW w:w="27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sz w:val="20"/>
                <w:szCs w:val="20"/>
                <w:lang w:val="id-ID"/>
              </w:rPr>
              <w:t xml:space="preserve">Penanggung jawab mutu; QA/QC kepatuhan PV Climate; pelatih utama</w:t>
            </w:r>
          </w:p>
        </w:tc>
      </w:tr>
      <w:tr>
        <w:trPr>
          <w:cantSplit/>
        </w:trPr>
        <w:tc>
          <w:tcPr>
            <w:tcW w:w="6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jc w:val="center"/>
              <w:rPr>
                <w:lang w:val="id-ID"/>
              </w:rPr>
            </w:pPr>
            <w:r>
              <w:rPr>
                <w:b/>
                <w:bCs/>
                <w:sz w:val="20"/>
                <w:szCs w:val="20"/>
                <w:lang w:val="id-ID"/>
              </w:rPr>
              <w:t xml:space="preserve">2</w:t>
            </w:r>
          </w:p>
        </w:tc>
        <w:tc>
          <w:tcPr>
            <w:tcW w:w="21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sz w:val="20"/>
                <w:szCs w:val="20"/>
                <w:lang w:val="id-ID"/>
              </w:rPr>
              <w:t xml:space="preserve">Ahli Karbon Mangrove dan GIS</w:t>
            </w:r>
          </w:p>
        </w:tc>
        <w:tc>
          <w:tcPr>
            <w:tcW w:w="3626"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sz w:val="20"/>
                <w:szCs w:val="20"/>
                <w:lang w:val="id-ID"/>
              </w:rPr>
              <w:t xml:space="preserve">Pengalaman inventarisasi biomassa/karbon mangrove dan analisis penginderaan jauh; memahami metodologi karbon biru.</w:t>
            </w:r>
          </w:p>
        </w:tc>
        <w:tc>
          <w:tcPr>
            <w:tcW w:w="27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sz w:val="20"/>
                <w:szCs w:val="20"/>
                <w:lang w:val="id-ID"/>
              </w:rPr>
              <w:t xml:space="preserve">Pelatih dan reviewer baseline, sampling, perhitungan karbon, dan rencana pemantauan</w:t>
            </w:r>
          </w:p>
        </w:tc>
      </w:tr>
      <w:tr>
        <w:trPr>
          <w:cantSplit/>
        </w:trPr>
        <w:tc>
          <w:tcPr>
            <w:tcW w:w="6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jc w:val="center"/>
              <w:rPr>
                <w:lang w:val="id-ID"/>
              </w:rPr>
            </w:pPr>
            <w:r>
              <w:rPr>
                <w:b/>
                <w:bCs/>
                <w:sz w:val="20"/>
                <w:szCs w:val="20"/>
                <w:lang w:val="id-ID"/>
              </w:rPr>
              <w:t xml:space="preserve">3</w:t>
            </w:r>
          </w:p>
        </w:tc>
        <w:tc>
          <w:tcPr>
            <w:tcW w:w="21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sz w:val="20"/>
                <w:szCs w:val="20"/>
                <w:lang w:val="id-ID"/>
              </w:rPr>
              <w:t xml:space="preserve">Ahli Sosial dan Safeguards</w:t>
            </w:r>
          </w:p>
        </w:tc>
        <w:tc>
          <w:tcPr>
            <w:tcW w:w="3626"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sz w:val="20"/>
                <w:szCs w:val="20"/>
                <w:lang w:val="id-ID"/>
              </w:rPr>
              <w:t xml:space="preserve">Pengalaman fasilitasi FPIC, tata kelola berbasis masyarakat, dan desain mekanisme pembagian manfaat.</w:t>
            </w:r>
          </w:p>
        </w:tc>
        <w:tc>
          <w:tcPr>
            <w:tcW w:w="27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sz w:val="20"/>
                <w:szCs w:val="20"/>
                <w:lang w:val="id-ID"/>
              </w:rPr>
              <w:t xml:space="preserve">Pelatih dan reviewer safeguards, FPIC, tata kelola, dan pembagian manfaat</w:t>
            </w:r>
          </w:p>
        </w:tc>
      </w:tr>
    </w:tbl>
    <w:p>
      <w:pPr>
        <w:spacing w:after="60"/>
      </w:pPr>
    </w:p>
    <w:p>
      <w:pPr>
        <w:pStyle w:val="DaftarParagraf"/>
        <w:keepNext/>
        <w:numPr>
          <w:ilvl w:val="0"/>
          <w:numId w:val="2"/>
        </w:numPr>
        <w:spacing w:before="320" w:after="140"/>
        <w:rPr>
          <w:lang w:val="id-ID"/>
        </w:rPr>
      </w:pPr>
      <w:r>
        <w:rPr>
          <w:b/>
          <w:bCs/>
          <w:sz w:val="26"/>
          <w:szCs w:val="26"/>
          <w:lang w:val="id-ID"/>
        </w:rPr>
        <w:t xml:space="preserve">Pembiayaan</w:t>
      </w:r>
    </w:p>
    <w:p>
      <w:pPr>
        <w:spacing w:after="200" w:line="300" w:lineRule="auto"/>
        <w:jc w:val="both"/>
        <w:rPr>
          <w:lang w:val="id-ID"/>
        </w:rPr>
      </w:pPr>
      <w:r>
        <w:rPr>
          <w:lang w:val="id-ID"/>
        </w:rPr>
        <w:t xml:space="preserve">Biaya pekerjaan dibebankan pada </w:t>
      </w:r>
      <w:r>
        <w:rPr>
          <w:i/>
          <w:iCs/>
          <w:lang w:val="id-ID"/>
        </w:rPr>
        <w:t xml:space="preserve">[sumber dana/program]</w:t>
      </w:r>
      <w:r>
        <w:rPr>
          <w:lang w:val="id-ID"/>
        </w:rPr>
        <w:t xml:space="preserve"> SAMPAN Kalimantan. Nilai kontrak ditetapkan berdasarkan proposal teknis dan biaya yang diajukan TAT. Biaya perjalanan dan akomodasi ke Desa Pasir serta biaya pelatihan luring diatur sesuai ketentuan keuangan SAMPAN Kalimantan.</w:t>
      </w:r>
    </w:p>
    <w:p>
      <w:pPr>
        <w:pStyle w:val="DaftarParagraf"/>
        <w:keepNext/>
        <w:numPr>
          <w:ilvl w:val="0"/>
          <w:numId w:val="2"/>
        </w:numPr>
        <w:spacing w:before="320" w:after="140"/>
        <w:rPr>
          <w:lang w:val="id-ID"/>
        </w:rPr>
      </w:pPr>
      <w:r>
        <w:rPr>
          <w:b/>
          <w:bCs/>
          <w:sz w:val="26"/>
          <w:szCs w:val="26"/>
          <w:lang w:val="id-ID"/>
        </w:rPr>
        <w:t xml:space="preserve">Penutup</w:t>
      </w:r>
    </w:p>
    <w:p>
      <w:pPr>
        <w:spacing w:after="200" w:line="300" w:lineRule="auto"/>
        <w:jc w:val="both"/>
        <w:rPr>
          <w:lang w:val="id-ID"/>
        </w:rPr>
      </w:pPr>
      <w:r>
        <w:rPr>
          <w:lang w:val="id-ID"/>
        </w:rPr>
        <w:t xml:space="preserve">Kerangka acuan ini menjadi dasar penyusunan proposal teknis dan biaya oleh Tim Penasihat Teknis serta acuan pelaksanaan kerja sama dengan SAMPAN Kalimantan. Hal-hal yang belum diatur akan disepakati bersama dalam rapat inception dan dituangkan dalam kontrak.</w:t>
      </w:r>
    </w:p>
    <w:sectPr w:rsidR="001C2112" w:rsidRPr="00E17A51">
      <w:headerReference w:type="default" r:id="rId7"/>
      <w:footerReference w:type="default" r:id="rId8"/>
      <w:pgSz w:w="11906" w:h="16838"/>
      <w:pgMar w:top="1985"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68B54F5F" w14:textId="77777777" w:rsidR="00257780" w:rsidRDefault="00257780">
      <w:r>
        <w:separator/>
      </w:r>
    </w:p>
  </w:endnote>
  <w:endnote w:type="continuationSeparator" w:id="0">
    <w:p w14:paraId="7CC38947" w14:textId="77777777" w:rsidR="00257780" w:rsidRDefault="0025778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D9D5761" w14:textId="5C1BF993" w:rsidR="001C2112" w:rsidRDefault="00000000" w:rsidP="0064685C">
    <w:pPr>
      <w:pBdr>
        <w:top w:val="single" w:sz="4" w:space="4" w:color="CCCCCC"/>
      </w:pBdr>
      <w:tabs>
        <w:tab w:val="right" w:pos="9026"/>
      </w:tabs>
      <w:jc w:val="right"/>
    </w:pPr>
    <w:r>
      <w:rPr>
        <w:sz w:val="18"/>
        <w:szCs w:val="18"/>
      </w:rPr>
      <w:t xml:space="preserve">Halaman </w:t>
    </w:r>
    <w:r>
      <w:rPr>
        <w:sz w:val="18"/>
        <w:szCs w:val="18"/>
      </w:rPr>
      <w:fldChar w:fldCharType="begin"/>
    </w:r>
    <w:r>
      <w:rPr>
        <w:sz w:val="18"/>
        <w:szCs w:val="18"/>
      </w:rPr>
      <w:instrText>PAGE</w:instrText>
    </w:r>
    <w:r>
      <w:rPr>
        <w:sz w:val="18"/>
        <w:szCs w:val="18"/>
      </w:rPr>
      <w:fldChar w:fldCharType="separate"/>
    </w:r>
    <w:r w:rsidR="0064685C">
      <w:rPr>
        <w:noProof/>
        <w:sz w:val="18"/>
        <w:szCs w:val="18"/>
      </w:rPr>
      <w:t>1</w:t>
    </w:r>
    <w:r>
      <w:rPr>
        <w:sz w:val="18"/>
        <w:szCs w:val="18"/>
      </w:rPr>
      <w:fldChar w:fldCharType="end"/>
    </w:r>
    <w:r>
      <w:rPr>
        <w:sz w:val="18"/>
        <w:szCs w:val="18"/>
      </w:rPr>
      <w:t xml:space="preserve"> </w:t>
    </w:r>
    <w:proofErr w:type="spellStart"/>
    <w:r>
      <w:rPr>
        <w:sz w:val="18"/>
        <w:szCs w:val="18"/>
      </w:rPr>
      <w:t>dari</w:t>
    </w:r>
    <w:proofErr w:type="spellEnd"/>
    <w:r>
      <w:rPr>
        <w:sz w:val="18"/>
        <w:szCs w:val="18"/>
      </w:rPr>
      <w:t xml:space="preserve"> </w:t>
    </w:r>
    <w:r>
      <w:rPr>
        <w:sz w:val="18"/>
        <w:szCs w:val="18"/>
      </w:rPr>
      <w:fldChar w:fldCharType="begin"/>
    </w:r>
    <w:r>
      <w:rPr>
        <w:sz w:val="18"/>
        <w:szCs w:val="18"/>
      </w:rPr>
      <w:instrText>NUMPAGES</w:instrText>
    </w:r>
    <w:r>
      <w:rPr>
        <w:sz w:val="18"/>
        <w:szCs w:val="18"/>
      </w:rPr>
      <w:fldChar w:fldCharType="separate"/>
    </w:r>
    <w:r w:rsidR="0064685C">
      <w:rPr>
        <w:noProof/>
        <w:sz w:val="18"/>
        <w:szCs w:val="18"/>
      </w:rPr>
      <w:t>2</w:t>
    </w:r>
    <w:r>
      <w:rPr>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31D0C121" w14:textId="77777777" w:rsidR="00257780" w:rsidRDefault="00257780">
      <w:r>
        <w:separator/>
      </w:r>
    </w:p>
  </w:footnote>
  <w:footnote w:type="continuationSeparator" w:id="0">
    <w:p w14:paraId="4C0AC2A4" w14:textId="77777777" w:rsidR="00257780" w:rsidRDefault="0025778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tbl>
    <w:tblPr>
      <w:tblW w:w="902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1800"/>
      <w:gridCol w:w="7226"/>
    </w:tblGrid>
    <w:tr w:rsidR="001C2112" w14:paraId="5B02A16E" w14:textId="77777777">
      <w:tc>
        <w:tcPr>
          <w:tcW w:w="1800" w:type="dxa"/>
          <w:vAlign w:val="center"/>
        </w:tcPr>
        <w:p w14:paraId="2CDACDD5" w14:textId="77777777" w:rsidR="001C2112" w:rsidRDefault="00000000">
          <w:pPr>
            <w:jc w:val="center"/>
          </w:pPr>
          <w:r>
            <w:rPr>
              <w:noProof/>
            </w:rPr>
            <w:drawing>
              <wp:inline distT="0" distB="0" distL="0" distR="0" wp14:anchorId="21EF5A42" wp14:editId="76666D7D">
                <wp:extent cx="857250" cy="5905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857250" cy="590550"/>
                        </a:xfrm>
                        <a:prstGeom prst="rect">
                          <a:avLst/>
                        </a:prstGeom>
                      </pic:spPr>
                    </pic:pic>
                  </a:graphicData>
                </a:graphic>
              </wp:inline>
            </w:drawing>
          </w:r>
        </w:p>
      </w:tc>
      <w:tc>
        <w:tcPr>
          <w:tcW w:w="7226" w:type="dxa"/>
          <w:vAlign w:val="center"/>
        </w:tcPr>
        <w:p w14:paraId="61172B56" w14:textId="77777777" w:rsidR="001C2112" w:rsidRDefault="00000000">
          <w:pPr>
            <w:jc w:val="center"/>
          </w:pPr>
          <w:r>
            <w:rPr>
              <w:rFonts w:ascii="Arial" w:eastAsia="Arial" w:hAnsi="Arial" w:cs="Arial"/>
              <w:b/>
              <w:bCs/>
              <w:sz w:val="26"/>
              <w:szCs w:val="26"/>
            </w:rPr>
            <w:t>SAHABAT MASYARAKAT PANTAI</w:t>
          </w:r>
        </w:p>
        <w:p w14:paraId="50E65C9B" w14:textId="77777777" w:rsidR="001C2112" w:rsidRDefault="00000000">
          <w:pPr>
            <w:spacing w:before="20"/>
            <w:jc w:val="center"/>
          </w:pPr>
          <w:r>
            <w:rPr>
              <w:rFonts w:ascii="Arial" w:eastAsia="Arial" w:hAnsi="Arial" w:cs="Arial"/>
              <w:sz w:val="14"/>
              <w:szCs w:val="14"/>
            </w:rPr>
            <w:t xml:space="preserve">Jl. </w:t>
          </w:r>
          <w:proofErr w:type="spellStart"/>
          <w:r>
            <w:rPr>
              <w:rFonts w:ascii="Arial" w:eastAsia="Arial" w:hAnsi="Arial" w:cs="Arial"/>
              <w:sz w:val="14"/>
              <w:szCs w:val="14"/>
            </w:rPr>
            <w:t>Parit</w:t>
          </w:r>
          <w:proofErr w:type="spellEnd"/>
          <w:r>
            <w:rPr>
              <w:rFonts w:ascii="Arial" w:eastAsia="Arial" w:hAnsi="Arial" w:cs="Arial"/>
              <w:sz w:val="14"/>
              <w:szCs w:val="14"/>
            </w:rPr>
            <w:t xml:space="preserve"> Bugis, Gg. </w:t>
          </w:r>
          <w:proofErr w:type="spellStart"/>
          <w:r>
            <w:rPr>
              <w:rFonts w:ascii="Arial" w:eastAsia="Arial" w:hAnsi="Arial" w:cs="Arial"/>
              <w:sz w:val="14"/>
              <w:szCs w:val="14"/>
            </w:rPr>
            <w:t>Lubuk</w:t>
          </w:r>
          <w:proofErr w:type="spellEnd"/>
          <w:r>
            <w:rPr>
              <w:rFonts w:ascii="Arial" w:eastAsia="Arial" w:hAnsi="Arial" w:cs="Arial"/>
              <w:sz w:val="14"/>
              <w:szCs w:val="14"/>
            </w:rPr>
            <w:t xml:space="preserve"> </w:t>
          </w:r>
          <w:proofErr w:type="spellStart"/>
          <w:r>
            <w:rPr>
              <w:rFonts w:ascii="Arial" w:eastAsia="Arial" w:hAnsi="Arial" w:cs="Arial"/>
              <w:sz w:val="14"/>
              <w:szCs w:val="14"/>
            </w:rPr>
            <w:t>Buaya</w:t>
          </w:r>
          <w:proofErr w:type="spellEnd"/>
          <w:r>
            <w:rPr>
              <w:rFonts w:ascii="Arial" w:eastAsia="Arial" w:hAnsi="Arial" w:cs="Arial"/>
              <w:sz w:val="14"/>
              <w:szCs w:val="14"/>
            </w:rPr>
            <w:t xml:space="preserve"> No. 22, Desa Arang Limbung, </w:t>
          </w:r>
          <w:proofErr w:type="spellStart"/>
          <w:r>
            <w:rPr>
              <w:rFonts w:ascii="Arial" w:eastAsia="Arial" w:hAnsi="Arial" w:cs="Arial"/>
              <w:sz w:val="14"/>
              <w:szCs w:val="14"/>
            </w:rPr>
            <w:t>Kecamatan</w:t>
          </w:r>
          <w:proofErr w:type="spellEnd"/>
          <w:r>
            <w:rPr>
              <w:rFonts w:ascii="Arial" w:eastAsia="Arial" w:hAnsi="Arial" w:cs="Arial"/>
              <w:sz w:val="14"/>
              <w:szCs w:val="14"/>
            </w:rPr>
            <w:t xml:space="preserve"> Sungai Raya,</w:t>
          </w:r>
        </w:p>
        <w:p w14:paraId="307B8266" w14:textId="77777777" w:rsidR="001C2112" w:rsidRDefault="00000000">
          <w:pPr>
            <w:jc w:val="center"/>
          </w:pPr>
          <w:proofErr w:type="spellStart"/>
          <w:r>
            <w:rPr>
              <w:rFonts w:ascii="Arial" w:eastAsia="Arial" w:hAnsi="Arial" w:cs="Arial"/>
              <w:sz w:val="14"/>
              <w:szCs w:val="14"/>
            </w:rPr>
            <w:t>Kabupaten</w:t>
          </w:r>
          <w:proofErr w:type="spellEnd"/>
          <w:r>
            <w:rPr>
              <w:rFonts w:ascii="Arial" w:eastAsia="Arial" w:hAnsi="Arial" w:cs="Arial"/>
              <w:sz w:val="14"/>
              <w:szCs w:val="14"/>
            </w:rPr>
            <w:t xml:space="preserve"> Kubu Raya, </w:t>
          </w:r>
          <w:proofErr w:type="spellStart"/>
          <w:r>
            <w:rPr>
              <w:rFonts w:ascii="Arial" w:eastAsia="Arial" w:hAnsi="Arial" w:cs="Arial"/>
              <w:sz w:val="14"/>
              <w:szCs w:val="14"/>
            </w:rPr>
            <w:t>Provinsi</w:t>
          </w:r>
          <w:proofErr w:type="spellEnd"/>
          <w:r>
            <w:rPr>
              <w:rFonts w:ascii="Arial" w:eastAsia="Arial" w:hAnsi="Arial" w:cs="Arial"/>
              <w:sz w:val="14"/>
              <w:szCs w:val="14"/>
            </w:rPr>
            <w:t xml:space="preserve"> Kalimantan Barat, 78391</w:t>
          </w:r>
        </w:p>
        <w:p w14:paraId="0D463F9A" w14:textId="77777777" w:rsidR="001C2112" w:rsidRDefault="00000000">
          <w:pPr>
            <w:jc w:val="center"/>
          </w:pPr>
          <w:r>
            <w:rPr>
              <w:rFonts w:ascii="Arial" w:eastAsia="Arial" w:hAnsi="Arial" w:cs="Arial"/>
              <w:sz w:val="14"/>
              <w:szCs w:val="14"/>
            </w:rPr>
            <w:t>Email: info@sampankalimantan.id  |  Website: www.sampankalimantan.id</w:t>
          </w:r>
        </w:p>
      </w:tc>
    </w:tr>
  </w:tbl>
  <w:p w14:paraId="0EF7D26E" w14:textId="77777777" w:rsidR="001C2112" w:rsidRPr="0064685C" w:rsidRDefault="001C2112">
    <w:pPr>
      <w:pBdr>
        <w:bottom w:val="single" w:sz="6" w:space="4" w:color="999999"/>
      </w:pBdr>
      <w:spacing w:before="60"/>
      <w:rPr>
        <w:sz w:val="2"/>
        <w:szCs w:val="2"/>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E2844A4"/>
    <w:multiLevelType w:val="hybridMultilevel"/>
    <w:tmpl w:val="2B4E96D0"/>
    <w:lvl w:ilvl="0" w:tplc="113C7E5E">
      <w:start w:val="1"/>
      <w:numFmt w:val="decimal"/>
      <w:lvlText w:val="%1"/>
      <w:lvlJc w:val="center"/>
      <w:pPr>
        <w:ind w:left="0" w:firstLine="0"/>
      </w:pPr>
    </w:lvl>
    <w:lvl w:ilvl="1" w:tplc="42F03F52">
      <w:numFmt w:val="decimal"/>
      <w:lvlText w:val=""/>
      <w:lvlJc w:val="left"/>
    </w:lvl>
    <w:lvl w:ilvl="2" w:tplc="8CA66662">
      <w:numFmt w:val="decimal"/>
      <w:lvlText w:val=""/>
      <w:lvlJc w:val="left"/>
    </w:lvl>
    <w:lvl w:ilvl="3" w:tplc="4E86E74C">
      <w:numFmt w:val="decimal"/>
      <w:lvlText w:val=""/>
      <w:lvlJc w:val="left"/>
    </w:lvl>
    <w:lvl w:ilvl="4" w:tplc="0796554A">
      <w:numFmt w:val="decimal"/>
      <w:lvlText w:val=""/>
      <w:lvlJc w:val="left"/>
    </w:lvl>
    <w:lvl w:ilvl="5" w:tplc="90A8F3EA">
      <w:numFmt w:val="decimal"/>
      <w:lvlText w:val=""/>
      <w:lvlJc w:val="left"/>
    </w:lvl>
    <w:lvl w:ilvl="6" w:tplc="1144CA36">
      <w:numFmt w:val="decimal"/>
      <w:lvlText w:val=""/>
      <w:lvlJc w:val="left"/>
    </w:lvl>
    <w:lvl w:ilvl="7" w:tplc="FCC6F7F6">
      <w:numFmt w:val="decimal"/>
      <w:lvlText w:val=""/>
      <w:lvlJc w:val="left"/>
    </w:lvl>
    <w:lvl w:ilvl="8" w:tplc="395A7BDA">
      <w:numFmt w:val="decimal"/>
      <w:lvlText w:val=""/>
      <w:lvlJc w:val="left"/>
    </w:lvl>
  </w:abstractNum>
  <w:abstractNum w:abstractNumId="1" w15:restartNumberingAfterBreak="0">
    <w:nsid w:val="22235CFF"/>
    <w:multiLevelType w:val="hybridMultilevel"/>
    <w:tmpl w:val="D7DEE480"/>
    <w:lvl w:ilvl="0" w:tplc="9B00F784">
      <w:start w:val="1"/>
      <w:numFmt w:val="decimal"/>
      <w:lvlText w:val="%1."/>
      <w:lvlJc w:val="left"/>
      <w:pPr>
        <w:ind w:left="420" w:hanging="300"/>
      </w:pPr>
    </w:lvl>
    <w:lvl w:ilvl="1" w:tplc="22CA118A">
      <w:numFmt w:val="decimal"/>
      <w:lvlText w:val=""/>
      <w:lvlJc w:val="left"/>
    </w:lvl>
    <w:lvl w:ilvl="2" w:tplc="5F3267D4">
      <w:numFmt w:val="decimal"/>
      <w:lvlText w:val=""/>
      <w:lvlJc w:val="left"/>
    </w:lvl>
    <w:lvl w:ilvl="3" w:tplc="AE14DB24">
      <w:numFmt w:val="decimal"/>
      <w:lvlText w:val=""/>
      <w:lvlJc w:val="left"/>
    </w:lvl>
    <w:lvl w:ilvl="4" w:tplc="B69AE5C6">
      <w:numFmt w:val="decimal"/>
      <w:lvlText w:val=""/>
      <w:lvlJc w:val="left"/>
    </w:lvl>
    <w:lvl w:ilvl="5" w:tplc="7C1C9EF4">
      <w:numFmt w:val="decimal"/>
      <w:lvlText w:val=""/>
      <w:lvlJc w:val="left"/>
    </w:lvl>
    <w:lvl w:ilvl="6" w:tplc="976EBB1E">
      <w:numFmt w:val="decimal"/>
      <w:lvlText w:val=""/>
      <w:lvlJc w:val="left"/>
    </w:lvl>
    <w:lvl w:ilvl="7" w:tplc="17D230E6">
      <w:numFmt w:val="decimal"/>
      <w:lvlText w:val=""/>
      <w:lvlJc w:val="left"/>
    </w:lvl>
    <w:lvl w:ilvl="8" w:tplc="54C6B3DC">
      <w:numFmt w:val="decimal"/>
      <w:lvlText w:val=""/>
      <w:lvlJc w:val="left"/>
    </w:lvl>
  </w:abstractNum>
  <w:abstractNum w:abstractNumId="2" w15:restartNumberingAfterBreak="0">
    <w:nsid w:val="24E803E3"/>
    <w:multiLevelType w:val="hybridMultilevel"/>
    <w:tmpl w:val="F3F464B4"/>
    <w:lvl w:ilvl="0" w:tplc="E3E082D4">
      <w:start w:val="1"/>
      <w:numFmt w:val="upperLetter"/>
      <w:lvlText w:val="%1."/>
      <w:lvlJc w:val="left"/>
      <w:pPr>
        <w:ind w:left="0" w:firstLine="0"/>
      </w:pPr>
      <w:rPr>
        <w:b/>
        <w:bCs/>
      </w:rPr>
    </w:lvl>
    <w:lvl w:ilvl="1" w:tplc="11A8AD56">
      <w:numFmt w:val="decimal"/>
      <w:lvlText w:val=""/>
      <w:lvlJc w:val="left"/>
    </w:lvl>
    <w:lvl w:ilvl="2" w:tplc="48C4EF06">
      <w:numFmt w:val="decimal"/>
      <w:lvlText w:val=""/>
      <w:lvlJc w:val="left"/>
    </w:lvl>
    <w:lvl w:ilvl="3" w:tplc="81BEB8EA">
      <w:numFmt w:val="decimal"/>
      <w:lvlText w:val=""/>
      <w:lvlJc w:val="left"/>
    </w:lvl>
    <w:lvl w:ilvl="4" w:tplc="91E0CCB0">
      <w:numFmt w:val="decimal"/>
      <w:lvlText w:val=""/>
      <w:lvlJc w:val="left"/>
    </w:lvl>
    <w:lvl w:ilvl="5" w:tplc="2F4259CA">
      <w:numFmt w:val="decimal"/>
      <w:lvlText w:val=""/>
      <w:lvlJc w:val="left"/>
    </w:lvl>
    <w:lvl w:ilvl="6" w:tplc="1B9809D8">
      <w:numFmt w:val="decimal"/>
      <w:lvlText w:val=""/>
      <w:lvlJc w:val="left"/>
    </w:lvl>
    <w:lvl w:ilvl="7" w:tplc="1D743DD4">
      <w:numFmt w:val="decimal"/>
      <w:lvlText w:val=""/>
      <w:lvlJc w:val="left"/>
    </w:lvl>
    <w:lvl w:ilvl="8" w:tplc="6ACED896">
      <w:numFmt w:val="decimal"/>
      <w:lvlText w:val=""/>
      <w:lvlJc w:val="left"/>
    </w:lvl>
  </w:abstractNum>
  <w:abstractNum w:abstractNumId="3" w15:restartNumberingAfterBreak="0">
    <w:nsid w:val="45371BFE"/>
    <w:multiLevelType w:val="hybridMultilevel"/>
    <w:tmpl w:val="3050FC92"/>
    <w:lvl w:ilvl="0" w:tplc="23AA9186">
      <w:start w:val="1"/>
      <w:numFmt w:val="bullet"/>
      <w:lvlText w:val="●"/>
      <w:lvlJc w:val="left"/>
      <w:pPr>
        <w:ind w:left="720" w:hanging="360"/>
      </w:pPr>
    </w:lvl>
    <w:lvl w:ilvl="1" w:tplc="6F06BD86">
      <w:start w:val="1"/>
      <w:numFmt w:val="bullet"/>
      <w:lvlText w:val="○"/>
      <w:lvlJc w:val="left"/>
      <w:pPr>
        <w:ind w:left="1440" w:hanging="360"/>
      </w:pPr>
    </w:lvl>
    <w:lvl w:ilvl="2" w:tplc="5C34B39E">
      <w:start w:val="1"/>
      <w:numFmt w:val="bullet"/>
      <w:lvlText w:val="■"/>
      <w:lvlJc w:val="left"/>
      <w:pPr>
        <w:ind w:left="2160" w:hanging="360"/>
      </w:pPr>
    </w:lvl>
    <w:lvl w:ilvl="3" w:tplc="5D3C5F68">
      <w:start w:val="1"/>
      <w:numFmt w:val="bullet"/>
      <w:lvlText w:val="●"/>
      <w:lvlJc w:val="left"/>
      <w:pPr>
        <w:ind w:left="2880" w:hanging="360"/>
      </w:pPr>
    </w:lvl>
    <w:lvl w:ilvl="4" w:tplc="B2F6202A">
      <w:start w:val="1"/>
      <w:numFmt w:val="bullet"/>
      <w:lvlText w:val="○"/>
      <w:lvlJc w:val="left"/>
      <w:pPr>
        <w:ind w:left="3600" w:hanging="360"/>
      </w:pPr>
    </w:lvl>
    <w:lvl w:ilvl="5" w:tplc="6F6C0D54">
      <w:start w:val="1"/>
      <w:numFmt w:val="bullet"/>
      <w:lvlText w:val="■"/>
      <w:lvlJc w:val="left"/>
      <w:pPr>
        <w:ind w:left="4320" w:hanging="360"/>
      </w:pPr>
    </w:lvl>
    <w:lvl w:ilvl="6" w:tplc="CD026784">
      <w:start w:val="1"/>
      <w:numFmt w:val="bullet"/>
      <w:lvlText w:val="●"/>
      <w:lvlJc w:val="left"/>
      <w:pPr>
        <w:ind w:left="5040" w:hanging="360"/>
      </w:pPr>
    </w:lvl>
    <w:lvl w:ilvl="7" w:tplc="C2D05FF0">
      <w:start w:val="1"/>
      <w:numFmt w:val="bullet"/>
      <w:lvlText w:val="●"/>
      <w:lvlJc w:val="left"/>
      <w:pPr>
        <w:ind w:left="5760" w:hanging="360"/>
      </w:pPr>
    </w:lvl>
    <w:lvl w:ilvl="8" w:tplc="DAA23B9C">
      <w:start w:val="1"/>
      <w:numFmt w:val="bullet"/>
      <w:lvlText w:val="●"/>
      <w:lvlJc w:val="left"/>
      <w:pPr>
        <w:ind w:left="6480" w:hanging="360"/>
      </w:pPr>
    </w:lvl>
  </w:abstractNum>
  <w:abstractNum w:abstractNumId="4" w15:restartNumberingAfterBreak="0">
    <w:nsid w:val="46E04E52"/>
    <w:multiLevelType w:val="hybridMultilevel"/>
    <w:tmpl w:val="D79AF010"/>
    <w:lvl w:ilvl="0" w:tplc="51083682">
      <w:start w:val="1"/>
      <w:numFmt w:val="decimal"/>
      <w:lvlText w:val="%1"/>
      <w:lvlJc w:val="center"/>
      <w:pPr>
        <w:ind w:left="0" w:firstLine="0"/>
      </w:pPr>
    </w:lvl>
    <w:lvl w:ilvl="1" w:tplc="85A6AC32">
      <w:numFmt w:val="decimal"/>
      <w:lvlText w:val=""/>
      <w:lvlJc w:val="left"/>
    </w:lvl>
    <w:lvl w:ilvl="2" w:tplc="7116B6AA">
      <w:numFmt w:val="decimal"/>
      <w:lvlText w:val=""/>
      <w:lvlJc w:val="left"/>
    </w:lvl>
    <w:lvl w:ilvl="3" w:tplc="420C1600">
      <w:numFmt w:val="decimal"/>
      <w:lvlText w:val=""/>
      <w:lvlJc w:val="left"/>
    </w:lvl>
    <w:lvl w:ilvl="4" w:tplc="4074EFBC">
      <w:numFmt w:val="decimal"/>
      <w:lvlText w:val=""/>
      <w:lvlJc w:val="left"/>
    </w:lvl>
    <w:lvl w:ilvl="5" w:tplc="8E700B14">
      <w:numFmt w:val="decimal"/>
      <w:lvlText w:val=""/>
      <w:lvlJc w:val="left"/>
    </w:lvl>
    <w:lvl w:ilvl="6" w:tplc="53B0D8E4">
      <w:numFmt w:val="decimal"/>
      <w:lvlText w:val=""/>
      <w:lvlJc w:val="left"/>
    </w:lvl>
    <w:lvl w:ilvl="7" w:tplc="668C78C8">
      <w:numFmt w:val="decimal"/>
      <w:lvlText w:val=""/>
      <w:lvlJc w:val="left"/>
    </w:lvl>
    <w:lvl w:ilvl="8" w:tplc="2C063E24">
      <w:numFmt w:val="decimal"/>
      <w:lvlText w:val=""/>
      <w:lvlJc w:val="left"/>
    </w:lvl>
  </w:abstractNum>
  <w:abstractNum w:abstractNumId="5" w15:restartNumberingAfterBreak="0">
    <w:nsid w:val="5A291135"/>
    <w:multiLevelType w:val="hybridMultilevel"/>
    <w:tmpl w:val="8E224C42"/>
    <w:lvl w:ilvl="0" w:tplc="ED66FD4E">
      <w:start w:val="1"/>
      <w:numFmt w:val="decimal"/>
      <w:lvlText w:val="%1."/>
      <w:lvlJc w:val="left"/>
      <w:pPr>
        <w:ind w:left="420" w:hanging="300"/>
      </w:pPr>
    </w:lvl>
    <w:lvl w:ilvl="1" w:tplc="3DE023AE">
      <w:numFmt w:val="decimal"/>
      <w:lvlText w:val=""/>
      <w:lvlJc w:val="left"/>
    </w:lvl>
    <w:lvl w:ilvl="2" w:tplc="16AC426E">
      <w:numFmt w:val="decimal"/>
      <w:lvlText w:val=""/>
      <w:lvlJc w:val="left"/>
    </w:lvl>
    <w:lvl w:ilvl="3" w:tplc="EB3294E2">
      <w:numFmt w:val="decimal"/>
      <w:lvlText w:val=""/>
      <w:lvlJc w:val="left"/>
    </w:lvl>
    <w:lvl w:ilvl="4" w:tplc="3C3AF646">
      <w:numFmt w:val="decimal"/>
      <w:lvlText w:val=""/>
      <w:lvlJc w:val="left"/>
    </w:lvl>
    <w:lvl w:ilvl="5" w:tplc="6C76506C">
      <w:numFmt w:val="decimal"/>
      <w:lvlText w:val=""/>
      <w:lvlJc w:val="left"/>
    </w:lvl>
    <w:lvl w:ilvl="6" w:tplc="96CA6602">
      <w:numFmt w:val="decimal"/>
      <w:lvlText w:val=""/>
      <w:lvlJc w:val="left"/>
    </w:lvl>
    <w:lvl w:ilvl="7" w:tplc="F7342FC0">
      <w:numFmt w:val="decimal"/>
      <w:lvlText w:val=""/>
      <w:lvlJc w:val="left"/>
    </w:lvl>
    <w:lvl w:ilvl="8" w:tplc="1D84D0BE">
      <w:numFmt w:val="decimal"/>
      <w:lvlText w:val=""/>
      <w:lvlJc w:val="left"/>
    </w:lvl>
  </w:abstractNum>
  <w:abstractNum w:abstractNumId="6" w15:restartNumberingAfterBreak="0">
    <w:nsid w:val="6EED3EC1"/>
    <w:multiLevelType w:val="hybridMultilevel"/>
    <w:tmpl w:val="621AFC4E"/>
    <w:lvl w:ilvl="0" w:tplc="D652BC90">
      <w:start w:val="1"/>
      <w:numFmt w:val="decimal"/>
      <w:lvlText w:val="%1"/>
      <w:lvlJc w:val="center"/>
      <w:pPr>
        <w:ind w:left="0" w:firstLine="0"/>
      </w:pPr>
    </w:lvl>
    <w:lvl w:ilvl="1" w:tplc="9606D050">
      <w:numFmt w:val="decimal"/>
      <w:lvlText w:val=""/>
      <w:lvlJc w:val="left"/>
    </w:lvl>
    <w:lvl w:ilvl="2" w:tplc="48A2F1CC">
      <w:numFmt w:val="decimal"/>
      <w:lvlText w:val=""/>
      <w:lvlJc w:val="left"/>
    </w:lvl>
    <w:lvl w:ilvl="3" w:tplc="C6C299D0">
      <w:numFmt w:val="decimal"/>
      <w:lvlText w:val=""/>
      <w:lvlJc w:val="left"/>
    </w:lvl>
    <w:lvl w:ilvl="4" w:tplc="4484003A">
      <w:numFmt w:val="decimal"/>
      <w:lvlText w:val=""/>
      <w:lvlJc w:val="left"/>
    </w:lvl>
    <w:lvl w:ilvl="5" w:tplc="1BCCC6C2">
      <w:numFmt w:val="decimal"/>
      <w:lvlText w:val=""/>
      <w:lvlJc w:val="left"/>
    </w:lvl>
    <w:lvl w:ilvl="6" w:tplc="9F32D01A">
      <w:numFmt w:val="decimal"/>
      <w:lvlText w:val=""/>
      <w:lvlJc w:val="left"/>
    </w:lvl>
    <w:lvl w:ilvl="7" w:tplc="F5C2BE9E">
      <w:numFmt w:val="decimal"/>
      <w:lvlText w:val=""/>
      <w:lvlJc w:val="left"/>
    </w:lvl>
    <w:lvl w:ilvl="8" w:tplc="2312DD8A">
      <w:numFmt w:val="decimal"/>
      <w:lvlText w:val=""/>
      <w:lvlJc w:val="left"/>
    </w:lvl>
  </w:abstractNum>
  <w:abstractNum w:abstractNumId="7" w15:restartNumberingAfterBreak="0">
    <w:nsid w:val="7EFB37B0"/>
    <w:multiLevelType w:val="hybridMultilevel"/>
    <w:tmpl w:val="C486E20A"/>
    <w:lvl w:ilvl="0" w:tplc="4482B8FA">
      <w:start w:val="1"/>
      <w:numFmt w:val="decimal"/>
      <w:lvlText w:val="%1."/>
      <w:lvlJc w:val="left"/>
      <w:pPr>
        <w:ind w:left="360" w:hanging="360"/>
      </w:pPr>
      <w:rPr>
        <w:b w:val="0"/>
        <w:bCs w:val="0"/>
      </w:r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num w:numId="1" w16cid:durableId="748767827">
    <w:abstractNumId w:val="3"/>
    <w:lvlOverride w:ilvl="0">
      <w:startOverride w:val="1"/>
    </w:lvlOverride>
  </w:num>
  <w:num w:numId="2" w16cid:durableId="1815753654">
    <w:abstractNumId w:val="2"/>
    <w:lvlOverride w:ilvl="0">
      <w:startOverride w:val="1"/>
    </w:lvlOverride>
  </w:num>
  <w:num w:numId="3" w16cid:durableId="2130514792">
    <w:abstractNumId w:val="5"/>
    <w:lvlOverride w:ilvl="0">
      <w:startOverride w:val="1"/>
    </w:lvlOverride>
  </w:num>
  <w:num w:numId="4" w16cid:durableId="376857322">
    <w:abstractNumId w:val="1"/>
    <w:lvlOverride w:ilvl="0">
      <w:startOverride w:val="1"/>
    </w:lvlOverride>
  </w:num>
  <w:num w:numId="5" w16cid:durableId="598178861">
    <w:abstractNumId w:val="2"/>
  </w:num>
  <w:num w:numId="6" w16cid:durableId="644242711">
    <w:abstractNumId w:val="7"/>
  </w:num>
  <w:num w:numId="7" w16cid:durableId="568928088">
    <w:abstractNumId w:val="5"/>
  </w:num>
  <w:num w:numId="100">
    <w:abstractNumId w:val="5"/>
    <w:lvlOverride w:ilvl="0">
      <w:startOverride w:val="1"/>
    </w:lvlOverride>
  </w:num>
  <w:num w:numId="101">
    <w:abstractNumId w:val="5"/>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76"/>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C2112"/>
    <w:rsid w:val="0007185A"/>
    <w:rsid w:val="000A5F06"/>
    <w:rsid w:val="00153BC2"/>
    <w:rsid w:val="001C2112"/>
    <w:rsid w:val="00257780"/>
    <w:rsid w:val="00341D48"/>
    <w:rsid w:val="003D3292"/>
    <w:rsid w:val="00625146"/>
    <w:rsid w:val="0064685C"/>
    <w:rsid w:val="0085458E"/>
    <w:rsid w:val="009626F7"/>
    <w:rsid w:val="009E14EF"/>
    <w:rsid w:val="00D84614"/>
    <w:rsid w:val="00E17A51"/>
    <w:rsid w:val="00EC5057"/>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decimalSymbol w:val=","/>
  <w:listSeparator w:val=";"/>
  <w14:docId w14:val="1437D270"/>
  <w15:docId w15:val="{303CB39F-994D-F04E-BDD3-56C2370EB6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color w:val="000000"/>
        <w:sz w:val="24"/>
        <w:szCs w:val="24"/>
        <w:lang w:val="en-ID"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Judul1">
    <w:name w:val="heading 1"/>
    <w:uiPriority w:val="9"/>
    <w:qFormat/>
    <w:pPr>
      <w:outlineLvl w:val="0"/>
    </w:pPr>
    <w:rPr>
      <w:color w:val="2E74B5"/>
      <w:sz w:val="32"/>
      <w:szCs w:val="32"/>
    </w:rPr>
  </w:style>
  <w:style w:type="paragraph" w:styleId="Judul2">
    <w:name w:val="heading 2"/>
    <w:uiPriority w:val="9"/>
    <w:semiHidden/>
    <w:unhideWhenUsed/>
    <w:qFormat/>
    <w:pPr>
      <w:outlineLvl w:val="1"/>
    </w:pPr>
    <w:rPr>
      <w:color w:val="2E74B5"/>
      <w:sz w:val="26"/>
      <w:szCs w:val="26"/>
    </w:rPr>
  </w:style>
  <w:style w:type="paragraph" w:styleId="Judul3">
    <w:name w:val="heading 3"/>
    <w:uiPriority w:val="9"/>
    <w:semiHidden/>
    <w:unhideWhenUsed/>
    <w:qFormat/>
    <w:pPr>
      <w:outlineLvl w:val="2"/>
    </w:pPr>
    <w:rPr>
      <w:color w:val="1F4D78"/>
    </w:rPr>
  </w:style>
  <w:style w:type="paragraph" w:styleId="Judul4">
    <w:name w:val="heading 4"/>
    <w:uiPriority w:val="9"/>
    <w:semiHidden/>
    <w:unhideWhenUsed/>
    <w:qFormat/>
    <w:pPr>
      <w:outlineLvl w:val="3"/>
    </w:pPr>
    <w:rPr>
      <w:i/>
      <w:iCs/>
      <w:color w:val="2E74B5"/>
    </w:rPr>
  </w:style>
  <w:style w:type="paragraph" w:styleId="Judul5">
    <w:name w:val="heading 5"/>
    <w:uiPriority w:val="9"/>
    <w:semiHidden/>
    <w:unhideWhenUsed/>
    <w:qFormat/>
    <w:pPr>
      <w:outlineLvl w:val="4"/>
    </w:pPr>
    <w:rPr>
      <w:color w:val="2E74B5"/>
    </w:rPr>
  </w:style>
  <w:style w:type="paragraph" w:styleId="Judul6">
    <w:name w:val="heading 6"/>
    <w:uiPriority w:val="9"/>
    <w:semiHidden/>
    <w:unhideWhenUsed/>
    <w:qFormat/>
    <w:pPr>
      <w:outlineLvl w:val="5"/>
    </w:pPr>
    <w:rPr>
      <w:color w:val="1F4D78"/>
    </w:rPr>
  </w:style>
  <w:style w:type="character" w:default="1" w:styleId="FontParagrafDefaul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TidakAdaDaftar">
    <w:name w:val="No List"/>
    <w:uiPriority w:val="99"/>
    <w:semiHidden/>
    <w:unhideWhenUsed/>
  </w:style>
  <w:style w:type="paragraph" w:styleId="Judul">
    <w:name w:val="Title"/>
    <w:uiPriority w:val="10"/>
    <w:qFormat/>
    <w:rPr>
      <w:sz w:val="56"/>
      <w:szCs w:val="56"/>
    </w:rPr>
  </w:style>
  <w:style w:type="paragraph" w:customStyle="1" w:styleId="Strong1">
    <w:name w:val="Strong1"/>
    <w:qFormat/>
    <w:rPr>
      <w:b/>
      <w:bCs/>
    </w:rPr>
  </w:style>
  <w:style w:type="paragraph" w:styleId="DaftarParagraf">
    <w:name w:val="List Paragraph"/>
    <w:qFormat/>
  </w:style>
  <w:style w:type="character" w:styleId="Hyperlink">
    <w:name w:val="Hyperlink"/>
    <w:uiPriority w:val="99"/>
    <w:unhideWhenUsed/>
    <w:rPr>
      <w:color w:val="0563C1"/>
      <w:u w:val="single"/>
    </w:rPr>
  </w:style>
  <w:style w:type="character" w:styleId="ReferensiCatatanKaki">
    <w:name w:val="footnote reference"/>
    <w:uiPriority w:val="99"/>
    <w:semiHidden/>
    <w:unhideWhenUsed/>
    <w:rPr>
      <w:vertAlign w:val="superscript"/>
    </w:rPr>
  </w:style>
  <w:style w:type="paragraph" w:styleId="TeksCatatanKaki">
    <w:name w:val="footnote text"/>
    <w:link w:val="TeksCatatanKakiKAR"/>
    <w:uiPriority w:val="99"/>
    <w:semiHidden/>
    <w:unhideWhenUsed/>
    <w:rPr>
      <w:sz w:val="20"/>
      <w:szCs w:val="20"/>
    </w:rPr>
  </w:style>
  <w:style w:type="character" w:customStyle="1" w:styleId="TeksCatatanKakiKAR">
    <w:name w:val="Teks Catatan Kaki KAR"/>
    <w:link w:val="TeksCatatanKaki"/>
    <w:uiPriority w:val="99"/>
    <w:semiHidden/>
    <w:unhideWhenUsed/>
    <w:rPr>
      <w:sz w:val="20"/>
      <w:szCs w:val="20"/>
    </w:rPr>
  </w:style>
  <w:style w:type="character" w:styleId="ReferensiCatatanAkhir">
    <w:name w:val="endnote reference"/>
    <w:uiPriority w:val="99"/>
    <w:semiHidden/>
    <w:unhideWhenUsed/>
    <w:rPr>
      <w:vertAlign w:val="superscript"/>
    </w:rPr>
  </w:style>
  <w:style w:type="paragraph" w:styleId="TeksCatatanAkhir">
    <w:name w:val="endnote text"/>
    <w:link w:val="TeksCatatanAkhirKAR"/>
    <w:uiPriority w:val="99"/>
    <w:semiHidden/>
    <w:unhideWhenUsed/>
    <w:rPr>
      <w:sz w:val="20"/>
      <w:szCs w:val="20"/>
    </w:rPr>
  </w:style>
  <w:style w:type="character" w:customStyle="1" w:styleId="TeksCatatanAkhirKAR">
    <w:name w:val="Teks Catatan Akhir KAR"/>
    <w:link w:val="TeksCatatanAkhir"/>
    <w:uiPriority w:val="99"/>
    <w:semiHidden/>
    <w:unhideWhenUsed/>
    <w:rPr>
      <w:sz w:val="20"/>
      <w:szCs w:val="20"/>
    </w:rPr>
  </w:style>
  <w:style w:type="paragraph" w:styleId="Header">
    <w:name w:val="header"/>
    <w:basedOn w:val="Normal"/>
    <w:link w:val="HeaderKAR"/>
    <w:uiPriority w:val="99"/>
    <w:unhideWhenUsed/>
    <w:rsid w:val="0064685C"/>
    <w:pPr>
      <w:tabs>
        <w:tab w:val="center" w:pos="4680"/>
        <w:tab w:val="right" w:pos="9360"/>
      </w:tabs>
    </w:pPr>
  </w:style>
  <w:style w:type="character" w:customStyle="1" w:styleId="HeaderKAR">
    <w:name w:val="Header KAR"/>
    <w:basedOn w:val="FontParagrafDefault"/>
    <w:link w:val="Header"/>
    <w:uiPriority w:val="99"/>
    <w:rsid w:val="0064685C"/>
  </w:style>
  <w:style w:type="paragraph" w:styleId="Footer">
    <w:name w:val="footer"/>
    <w:basedOn w:val="Normal"/>
    <w:link w:val="FooterKAR"/>
    <w:uiPriority w:val="99"/>
    <w:unhideWhenUsed/>
    <w:rsid w:val="0064685C"/>
    <w:pPr>
      <w:tabs>
        <w:tab w:val="center" w:pos="4680"/>
        <w:tab w:val="right" w:pos="9360"/>
      </w:tabs>
    </w:pPr>
  </w:style>
  <w:style w:type="character" w:customStyle="1" w:styleId="FooterKAR">
    <w:name w:val="Footer KAR"/>
    <w:basedOn w:val="FontParagrafDefault"/>
    <w:link w:val="Footer"/>
    <w:uiPriority w:val="99"/>
    <w:rsid w:val="0064685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3</Pages>
  <Words>623</Words>
  <Characters>3556</Characters>
  <Application>Microsoft Office Word</Application>
  <DocSecurity>0</DocSecurity>
  <Lines>29</Lines>
  <Paragraphs>8</Paragraphs>
  <ScaleCrop>false</ScaleCrop>
  <Company/>
  <LinksUpToDate>false</LinksUpToDate>
  <CharactersWithSpaces>4171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Fajri Nailus Subchi</cp:lastModifiedBy>
  <cp:revision>2</cp:revision>
  <dcterms:created xsi:type="dcterms:W3CDTF">2026-09-10T03:26:00Z</dcterms:created>
  <dcterms:modified xsi:type="dcterms:W3CDTF">2026-09-10T03:26:00Z</dcterms:modified>
</cp:coreProperties>
</file>