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82A5" w14:textId="77777777" w:rsidR="004F2AD7" w:rsidRDefault="004F2AD7">
      <w:pPr>
        <w:rPr>
          <w:color w:val="000000"/>
        </w:rPr>
      </w:pPr>
    </w:p>
    <w:p w14:paraId="54E92566" w14:textId="1623DC95" w:rsidR="004F2AD7" w:rsidRPr="004F2AD7" w:rsidRDefault="004F2AD7" w:rsidP="004F2AD7">
      <w:pPr>
        <w:spacing w:line="480" w:lineRule="auto"/>
        <w:rPr>
          <w:rFonts w:ascii="Times New Roman" w:hAnsi="Times New Roman" w:cs="Times New Roman"/>
          <w:b/>
          <w:bCs/>
          <w:color w:val="000000"/>
        </w:rPr>
      </w:pPr>
      <w:r w:rsidRPr="004F2AD7">
        <w:rPr>
          <w:rFonts w:ascii="Times New Roman" w:hAnsi="Times New Roman" w:cs="Times New Roman"/>
          <w:b/>
          <w:bCs/>
          <w:color w:val="000000"/>
        </w:rPr>
        <w:t>Instrucciones:</w:t>
      </w:r>
    </w:p>
    <w:p w14:paraId="33C4CEB6" w14:textId="3BF5DFCC" w:rsidR="008917A9" w:rsidRPr="004F2AD7" w:rsidRDefault="004F2AD7" w:rsidP="004F2A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AD7">
        <w:rPr>
          <w:rFonts w:ascii="Times New Roman" w:hAnsi="Times New Roman" w:cs="Times New Roman"/>
          <w:color w:val="000000"/>
          <w:sz w:val="24"/>
          <w:szCs w:val="24"/>
        </w:rPr>
        <w:t>El programa no se ejecuta de una manera complicada. Una vez se compila el código del archivo “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principal.sml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”. Solo hay que ver las pruebas que se quieren realizar para cada función y ejecutar el nombre de cada función normalmente. Si acaso utiliza el compilador 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Moscow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ML. Debe abrir el .exe, copiar el código </w:t>
      </w:r>
      <w:r w:rsidRPr="004F2AD7">
        <w:rPr>
          <w:rFonts w:ascii="Times New Roman" w:hAnsi="Times New Roman" w:cs="Times New Roman"/>
          <w:color w:val="000000"/>
          <w:sz w:val="24"/>
          <w:szCs w:val="24"/>
        </w:rPr>
        <w:t>del</w:t>
      </w:r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archivo “” de la subcarpeta Código Fuente en la carpeta de Apéndices en la consola del compilador. A partir de ahí, sólo debe llamar la función con su nombre (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fnd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, bonita, y 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simpl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), y la prueba que desea realizar. Por </w:t>
      </w:r>
      <w:r w:rsidRPr="004F2AD7">
        <w:rPr>
          <w:rFonts w:ascii="Times New Roman" w:hAnsi="Times New Roman" w:cs="Times New Roman"/>
          <w:color w:val="000000"/>
          <w:sz w:val="24"/>
          <w:szCs w:val="24"/>
        </w:rPr>
        <w:t>ejemplo,</w:t>
      </w:r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se tiene la prueba p1 para 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simpl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r w:rsidR="00C41B8C" w:rsidRPr="004F2AD7">
        <w:rPr>
          <w:rFonts w:ascii="Times New Roman" w:hAnsi="Times New Roman" w:cs="Times New Roman"/>
          <w:color w:val="000000"/>
          <w:sz w:val="24"/>
          <w:szCs w:val="24"/>
        </w:rPr>
        <w:t>consiste en</w:t>
      </w:r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una proposición. Sólo se debe llamar 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simpl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con la prueba como parámetro de la manera “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simpl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p1;”. Las funciones ya realizan las tareas con sus auxiliares por sí mismas. En caso de que p1 fuera una prueba para las funciones 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fnd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y bonita se deben ejecutar de las siguientes maneras: “bonita p1;” y “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fnd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p1;”. Así con cada prueba que se desea realizar.</w:t>
      </w:r>
    </w:p>
    <w:sectPr w:rsidR="008917A9" w:rsidRPr="004F2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DE"/>
    <w:rsid w:val="001E3F39"/>
    <w:rsid w:val="003A0DDE"/>
    <w:rsid w:val="004D41FC"/>
    <w:rsid w:val="004F2AD7"/>
    <w:rsid w:val="00C41B8C"/>
    <w:rsid w:val="00D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9FDB"/>
  <w15:chartTrackingRefBased/>
  <w15:docId w15:val="{9CEE06FC-B540-4C47-A629-C6767537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2021-06-17T03:13:00Z</dcterms:created>
  <dcterms:modified xsi:type="dcterms:W3CDTF">2021-06-17T03:15:00Z</dcterms:modified>
</cp:coreProperties>
</file>