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B3DFF"/>
          <w:sz w:val="44"/>
          <w:szCs w:val="44"/>
        </w:rPr>
        <w:t xml:space="preserve">Revvi — Brand Direction</w:t>
      </w:r>
    </w:p>
    <w:p>
      <w:pPr>
        <w:spacing w:after="300"/>
      </w:pPr>
      <w:r>
        <w:rPr>
          <w:i/>
          <w:iCs/>
          <w:color w:val="666666"/>
          <w:sz w:val="19"/>
          <w:szCs w:val="19"/>
        </w:rPr>
        <w:t xml:space="preserve">For Mark's review  ·  Style reference: navigatoraiadvisory.com</w:t>
      </w:r>
    </w:p>
    <w:p>
      <w:pPr>
        <w:pStyle w:val="Heading1"/>
        <w:spacing w:after="140" w:before="400"/>
      </w:pPr>
      <w:r>
        <w:rPr>
          <w:b/>
          <w:bCs/>
          <w:color w:val="222222"/>
          <w:sz w:val="30"/>
          <w:szCs w:val="30"/>
        </w:rPr>
        <w:t xml:space="preserve">1. Recommended direction</w:t>
      </w:r>
    </w:p>
    <w:tbl>
      <w:tblPr>
        <w:tblW w:type="dxa" w:w="96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9600"/>
      </w:tblGrid>
      <w:tr>
        <w:tc>
          <w:tcPr>
            <w:tcW w:type="dxa" w:w="9600"/>
            <w:shd w:fill="F7F7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222222"/>
                <w:sz w:val="24"/>
                <w:szCs w:val="24"/>
              </w:rPr>
              <w:t xml:space="preserve">Purple  +  Navy  +  Poppins / Inter  —  Dark-led</w:t>
            </w:r>
          </w:p>
          <w:p>
            <w:pPr>
              <w:spacing w:after="140"/>
            </w:pPr>
            <w:r>
              <w:rPr>
                <w:color w:val="666666"/>
                <w:sz w:val="18"/>
                <w:szCs w:val="18"/>
              </w:rPr>
              <w:t xml:space="preserve">Purple #7B3DFF and Navy #0D162B are taken directly from the existing Revvi logo direction.</w:t>
            </w:r>
          </w:p>
          <w:p>
            <w:pPr>
              <w:spacing w:after="80"/>
            </w:pPr>
            <w:r>
              <w:rPr>
                <w:color w:val="666666"/>
                <w:sz w:val="18"/>
                <w:szCs w:val="18"/>
              </w:rPr>
              <w:t xml:space="preserve">Dark-led, not left neutral — the navy hero reads substantially more premium and makes the purple CTA stand out. Purple is used sparingly (buttons, small highlights, icons, active states) rather than as a dominant fill colour; navy and white carry most of the page. Green is reserved for measurable positive outcomes only — savings, revenue recovered, calculator results — never used as a general brand colour.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0"/>
      </w:pPr>
      <w:r>
        <w:drawing>
          <wp:inline distT="0" distB="0" distL="0" distR="0">
            <wp:extent cx="5905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/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Hero shows an animated workflow (Customer enquiry → Revvi → CRM / Outlook / Xero → Follow-up ready) rather than a robot or generic AI image — this is the single biggest upgrade from earlier drafts, and explains what Revvi does in seconds. Frame shown is one moment from a 3-story rotating loop — full behaviour specified in Part 1a below.</w:t>
      </w:r>
    </w:p>
    <w:p>
      <w:pPr>
        <w:spacing w:after="400"/>
      </w:pPr>
      <w:r>
        <w:t xml:space="preserve"/>
      </w:r>
    </w:p>
    <w:p>
      <w:pPr>
        <w:pStyle w:val="Heading1"/>
        <w:spacing w:after="140" w:before="400"/>
      </w:pPr>
      <w:r>
        <w:rPr>
          <w:b/>
          <w:bCs/>
          <w:color w:val="222222"/>
          <w:sz w:val="30"/>
          <w:szCs w:val="30"/>
        </w:rPr>
        <w:t xml:space="preserve">1a. Hero animation — how it should actually move</w:t>
      </w:r>
    </w:p>
    <w:tbl>
      <w:tblPr>
        <w:tblW w:type="dxa" w:w="96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9600"/>
      </w:tblGrid>
      <w:tr>
        <w:tc>
          <w:tcPr>
            <w:tcW w:type="dxa" w:w="9600"/>
            <w:shd w:fill="F7F7F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A small glowing dot travels the path: Customer enquiry → Revvi → systems → result. Not everything appears at once.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Systems activate sequentially, not simultaneously — e.g. CRM lights up first, then Outlook, then Xero — matching the order Revvi actually processes the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Revvi's centre node is the obvious engine: larger than the other nodes, strongest glow, gains brief extra intensity as the packet passes through it.</w:t>
            </w:r>
          </w:p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Pacing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One full story ≈ 6–8 second loop. Gentle and premium, not a flashing demo — this is ambient motion sitting behind a headline, not the main event.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Every ~7 seconds, the whole diagram transitions to the next story rather than looping the same one indefinitely.</w:t>
            </w:r>
          </w:p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Three rotating stories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1. Sales — Customer enquiry → Revvi → CRM + Outlook → "Follow-up ready"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2. Finance — Supplier invoice → Revvi → Xero → "Ready for approval"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3. Operations — New job → Revvi → CRM + Project system → "Team notified"</w:t>
            </w:r>
          </w:p>
          <w:p>
            <w:pPr>
              <w:spacing w:after="10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Within ~20 seconds the hero quietly demonstrates all three Revvi service pillars — Sales, Finance, Operations — without a word of copy.</w:t>
            </w:r>
          </w:p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Wording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End-state label varies per story (above) rather than a fixed "Done automatically" — that phrase slightly undercuts the human-control message elsewhere on the site.</w:t>
            </w:r>
          </w:p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Brand icons</w:t>
            </w:r>
          </w:p>
          <w:p>
            <w:pPr>
              <w:spacing w:after="10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FLAG: using real Xero/Outlook/CRM logos would read faster than text labels, but needs a trademark/usage check before committing — logos are simple text placeholders until confirmed.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Story rotation preview</w:t>
      </w:r>
    </w:p>
    <w:tbl>
      <w:tblPr>
        <w:tblW w:type="dxa" w:w="96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381250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381250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381250" cy="1876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spacing w:after="140" w:before="400"/>
      </w:pPr>
      <w:r>
        <w:rPr>
          <w:b/>
          <w:bCs/>
          <w:color w:val="222222"/>
          <w:sz w:val="30"/>
          <w:szCs w:val="30"/>
        </w:rPr>
        <w:t xml:space="preserve">2. Colour alternatives</w:t>
      </w:r>
    </w:p>
    <w:tbl>
      <w:tblPr>
        <w:tblW w:type="dxa" w:w="96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3200"/>
        <w:gridCol w:w="3200"/>
        <w:gridCol w:w="3200"/>
      </w:tblGrid>
      <w:tr>
        <w:tc>
          <w:tcPr>
            <w:tcW w:type="dxa" w:w="9600"/>
            <w:gridSpan w:val="3"/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Purple (recommended)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7B3DFF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900" w:before="900"/>
            </w:pPr>
            <w:r>
              <w:t xml:space="preserve"/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F9E5A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900" w:before="900"/>
            </w:pPr>
            <w:r>
              <w:t xml:space="preserve"/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1EBFF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900" w:before="9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Primary</w:t>
            </w:r>
          </w:p>
          <w:p>
            <w:r>
              <w:rPr>
                <w:color w:val="666666"/>
                <w:sz w:val="15"/>
                <w:szCs w:val="15"/>
              </w:rPr>
              <w:t xml:space="preserve">#7B3DFF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Success green</w:t>
            </w:r>
          </w:p>
          <w:p>
            <w:r>
              <w:rPr>
                <w:color w:val="666666"/>
                <w:sz w:val="15"/>
                <w:szCs w:val="15"/>
              </w:rPr>
              <w:t xml:space="preserve">#1F9E5A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Background</w:t>
            </w:r>
          </w:p>
          <w:p>
            <w:r>
              <w:rPr>
                <w:color w:val="666666"/>
                <w:sz w:val="15"/>
                <w:szCs w:val="15"/>
              </w:rPr>
              <w:t xml:space="preserve">#F1EBFF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6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3200"/>
        <w:gridCol w:w="3200"/>
        <w:gridCol w:w="3200"/>
      </w:tblGrid>
      <w:tr>
        <w:tc>
          <w:tcPr>
            <w:tcW w:type="dxa" w:w="9600"/>
            <w:gridSpan w:val="3"/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Blue (alternative)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2409AD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900" w:before="900"/>
            </w:pPr>
            <w:r>
              <w:t xml:space="preserve"/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F9E5A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900" w:before="900"/>
            </w:pPr>
            <w:r>
              <w:t xml:space="preserve"/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EAE7F9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900" w:before="9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Primary</w:t>
            </w:r>
          </w:p>
          <w:p>
            <w:r>
              <w:rPr>
                <w:color w:val="666666"/>
                <w:sz w:val="15"/>
                <w:szCs w:val="15"/>
              </w:rPr>
              <w:t xml:space="preserve">#2409AD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Success green</w:t>
            </w:r>
          </w:p>
          <w:p>
            <w:r>
              <w:rPr>
                <w:color w:val="666666"/>
                <w:sz w:val="15"/>
                <w:szCs w:val="15"/>
              </w:rPr>
              <w:t xml:space="preserve">#1F9E5A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Background</w:t>
            </w:r>
          </w:p>
          <w:p>
            <w:r>
              <w:rPr>
                <w:color w:val="666666"/>
                <w:sz w:val="15"/>
                <w:szCs w:val="15"/>
              </w:rPr>
              <w:t xml:space="preserve">#EAE7F9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Blue is professional but reads more generic B2B/software — a safe choice, not a distinctive one. Green is unchanged either way; it's tied to savings/results, not brand identity.</w:t>
      </w:r>
    </w:p>
    <w:tbl>
      <w:tblPr>
        <w:tblW w:type="dxa" w:w="96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4800"/>
        <w:gridCol w:w="4800"/>
      </w:tblGrid>
      <w:tr>
        <w:tc>
          <w:tcPr>
            <w:tcW w:type="dxa" w:w="9600"/>
            <w:gridSpan w:val="2"/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Additional neutral — for light sections instead of lavender everywhere</w:t>
            </w:r>
          </w:p>
        </w:tc>
      </w:tr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shd w:fill="F8F9FB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900" w:before="900"/>
            </w:pPr>
            <w:r>
              <w:t xml:space="preserve"/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shd w:fill="F1EBFF" w:val="clear"/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900" w:before="900"/>
            </w:pPr>
            <w:r>
              <w:t xml:space="preserve"/>
            </w:r>
          </w:p>
        </w:tc>
      </w:tr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Off-white / warm grey</w:t>
            </w:r>
          </w:p>
          <w:p>
            <w:r>
              <w:rPr>
                <w:color w:val="666666"/>
                <w:sz w:val="15"/>
                <w:szCs w:val="15"/>
              </w:rPr>
              <w:t xml:space="preserve">#F8F9FB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Soft lavender (CTA only)</w:t>
            </w:r>
          </w:p>
          <w:p>
            <w:r>
              <w:rPr>
                <w:color w:val="666666"/>
                <w:sz w:val="15"/>
                <w:szCs w:val="15"/>
              </w:rPr>
              <w:t xml:space="preserve">#F1EBFF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Rhythm down the page: navy hero → white solutions → soft grey calculator → navy security → white process → soft lavender CTA → navy footer. See the full example in Part 4.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Dark-led only from here — the earlier light/white hero option has been dropped since dark-led is the confirmed direction (Part 1).</w:t>
      </w:r>
    </w:p>
    <w:tbl>
      <w:tblPr>
        <w:tblW w:type="dxa" w:w="96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4800"/>
        <w:gridCol w:w="4800"/>
      </w:tblGrid>
      <w:tr>
        <w:tc>
          <w:tcPr>
            <w:tcW w:type="dxa" w:w="4800"/>
            <w:tcMar>
              <w:top w:type="dxa" w:w="100"/>
              <w:left w:type="dxa" w:w="100"/>
              <w:bottom w:type="dxa" w:w="100"/>
              <w:right w:type="dxa" w:w="60"/>
            </w:tcMar>
          </w:tcPr>
          <w:p>
            <w:pPr>
              <w:spacing w:after="60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Purple</w:t>
            </w:r>
          </w:p>
          <w:p>
            <w:pPr>
              <w:spacing w:after="0"/>
            </w:pPr>
            <w:r>
              <w:drawing>
                <wp:inline distT="0" distB="0" distL="0" distR="0">
                  <wp:extent cx="400050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tcMar>
              <w:top w:type="dxa" w:w="100"/>
              <w:left w:type="dxa" w:w="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Blue</w:t>
            </w:r>
          </w:p>
          <w:p>
            <w:pPr>
              <w:spacing w:after="0"/>
            </w:pPr>
            <w:r>
              <w:drawing>
                <wp:inline distT="0" distB="0" distL="0" distR="0">
                  <wp:extent cx="400050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spacing w:after="140" w:before="400"/>
      </w:pPr>
      <w:r>
        <w:rPr>
          <w:b/>
          <w:bCs/>
          <w:color w:val="222222"/>
          <w:sz w:val="30"/>
          <w:szCs w:val="30"/>
        </w:rPr>
        <w:t xml:space="preserve">3. Typography alternatives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Rule once confirmed: Poppins for headings only, Inter for everything else (body copy, buttons, nav, labels) — kept strict, not mixed within the same hierarchy.</w:t>
      </w:r>
    </w:p>
    <w:tbl>
      <w:tblPr>
        <w:tblW w:type="dxa" w:w="96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9600"/>
      </w:tblGrid>
      <w:tr>
        <w:tc>
          <w:tcPr>
            <w:tcW w:type="dxa" w:w="9600"/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Option A  </w:t>
            </w:r>
            <w:r>
              <w:rPr>
                <w:color w:val="666666"/>
                <w:sz w:val="20"/>
                <w:szCs w:val="20"/>
              </w:rPr>
              <w:t xml:space="preserve">—  Poppins (headings) + Inter (recommended)</w:t>
            </w:r>
          </w:p>
        </w:tc>
      </w:tr>
      <w:tr>
        <w:tc>
          <w:tcPr>
            <w:tcW w:type="dxa" w:w="9600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32"/>
                <w:szCs w:val="32"/>
              </w:rPr>
              <w:t xml:space="preserve">Where is your business losing time or money?</w:t>
            </w:r>
          </w:p>
          <w:p>
            <w:pPr>
              <w:spacing w:after="180"/>
            </w:pPr>
            <w:r>
              <w:rPr>
                <w:rFonts w:ascii="Inter" w:cs="Inter" w:eastAsia="Inter" w:hAnsi="Inter"/>
                <w:color w:val="444444"/>
                <w:sz w:val="21"/>
                <w:szCs w:val="21"/>
              </w:rPr>
              <w:t xml:space="preserve">Revvi finds the repetitive work, manual processes and missed follow-ups costing your business time and money.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Modern, geometric, confident — closest match to Navigator's own look and to a technology-enabled business.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6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9600"/>
      </w:tblGrid>
      <w:tr>
        <w:tc>
          <w:tcPr>
            <w:tcW w:type="dxa" w:w="9600"/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Option B  </w:t>
            </w:r>
            <w:r>
              <w:rPr>
                <w:color w:val="666666"/>
                <w:sz w:val="20"/>
                <w:szCs w:val="20"/>
              </w:rPr>
              <w:t xml:space="preserve">—  Lora (headings) + Inter (body)</w:t>
            </w:r>
          </w:p>
        </w:tc>
      </w:tr>
      <w:tr>
        <w:tc>
          <w:tcPr>
            <w:tcW w:type="dxa" w:w="9600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Lora" w:cs="Lora" w:eastAsia="Lora" w:hAnsi="Lora"/>
                <w:b/>
                <w:bCs/>
                <w:color w:val="222222"/>
                <w:sz w:val="32"/>
                <w:szCs w:val="32"/>
              </w:rPr>
              <w:t xml:space="preserve">Where is your business losing time or money?</w:t>
            </w:r>
          </w:p>
          <w:p>
            <w:pPr>
              <w:spacing w:after="180"/>
            </w:pPr>
            <w:r>
              <w:rPr>
                <w:rFonts w:ascii="Inter" w:cs="Inter" w:eastAsia="Inter" w:hAnsi="Inter"/>
                <w:color w:val="444444"/>
                <w:sz w:val="21"/>
                <w:szCs w:val="21"/>
              </w:rPr>
              <w:t xml:space="preserve">Revvi finds the repetitive work, manual processes and missed follow-ups costing your business time and money.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Serif headline reads credible, but leans the brand slightly towards financial/advisory consulting rather than a technology business.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6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9600"/>
      </w:tblGrid>
      <w:tr>
        <w:tc>
          <w:tcPr>
            <w:tcW w:type="dxa" w:w="9600"/>
            <w:shd w:fill="F7F7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Option C  </w:t>
            </w:r>
            <w:r>
              <w:rPr>
                <w:color w:val="666666"/>
                <w:sz w:val="20"/>
                <w:szCs w:val="20"/>
              </w:rPr>
              <w:t xml:space="preserve">—  Work Sans (headings) + Inter (body)</w:t>
            </w:r>
          </w:p>
        </w:tc>
      </w:tr>
      <w:tr>
        <w:tc>
          <w:tcPr>
            <w:tcW w:type="dxa" w:w="9600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Work Sans" w:cs="Work Sans" w:eastAsia="Work Sans" w:hAnsi="Work Sans"/>
                <w:b/>
                <w:bCs/>
                <w:color w:val="222222"/>
                <w:sz w:val="32"/>
                <w:szCs w:val="32"/>
              </w:rPr>
              <w:t xml:space="preserve">Where is your business losing time or money?</w:t>
            </w:r>
          </w:p>
          <w:p>
            <w:pPr>
              <w:spacing w:after="180"/>
            </w:pPr>
            <w:r>
              <w:rPr>
                <w:rFonts w:ascii="Inter" w:cs="Inter" w:eastAsia="Inter" w:hAnsi="Inter"/>
                <w:color w:val="444444"/>
                <w:sz w:val="21"/>
                <w:szCs w:val="21"/>
              </w:rPr>
              <w:t xml:space="preserve">Revvi finds the repetitive work, manual processes and missed follow-ups costing your business time and money.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Neutral and safe, but the least distinctive of the three — lowest brand recognition value.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spacing w:after="140" w:before="400"/>
      </w:pPr>
      <w:r>
        <w:rPr>
          <w:b/>
          <w:bCs/>
          <w:color w:val="222222"/>
          <w:sz w:val="30"/>
          <w:szCs w:val="30"/>
        </w:rPr>
        <w:t xml:space="preserve">4. Website application</w:t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Full page rhythm — navy hero with subtle glow, shadowed cards, icons on the solution cards, a connecting line through the process steps, and marked placeholders for real photography/graphics once sourced. Rounded cards for content blocks, open full-width bands so it doesn't read as a generic templated SaaS site.</w:t>
      </w:r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Purple</w:t>
      </w:r>
    </w:p>
    <w:p>
      <w:pPr>
        <w:spacing w:after="0"/>
      </w:pPr>
      <w:r>
        <w:drawing>
          <wp:inline distT="0" distB="0" distL="0" distR="0">
            <wp:extent cx="4381500" cy="883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Blue</w:t>
      </w:r>
    </w:p>
    <w:p>
      <w:pPr>
        <w:spacing w:after="0"/>
      </w:pPr>
      <w:r>
        <w:drawing>
          <wp:inline distT="0" distB="0" distL="0" distR="0">
            <wp:extent cx="4381500" cy="883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t xml:space="preserve"/>
      </w:r>
    </w:p>
    <w:p>
      <w:pPr>
        <w:pStyle w:val="Heading1"/>
        <w:spacing w:after="140" w:before="400"/>
      </w:pPr>
      <w:r>
        <w:rPr>
          <w:b/>
          <w:bCs/>
          <w:color w:val="222222"/>
          <w:sz w:val="30"/>
          <w:szCs w:val="30"/>
        </w:rPr>
        <w:t xml:space="preserve">5. What I need you to approve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Direction: Dark-led (see Part 1) — not put forward as a choice, since the light/white hero option has already been dropped.</w:t>
      </w:r>
    </w:p>
    <w:tbl>
      <w:tblPr>
        <w:tblW w:type="dxa" w:w="96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9600"/>
      </w:tblGrid>
      <w:tr>
        <w:tc>
          <w:tcPr>
            <w:tcW w:type="dxa" w:w="9600"/>
            <w:shd w:fill="F7F7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color w:val="7B3DFF"/>
                <w:sz w:val="21"/>
                <w:szCs w:val="21"/>
              </w:rPr>
              <w:t xml:space="preserve">1. 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Primary colour:  </w:t>
            </w:r>
            <w:r>
              <w:rPr>
                <w:color w:val="666666"/>
                <w:sz w:val="20"/>
                <w:szCs w:val="20"/>
              </w:rPr>
              <w:t xml:space="preserve">Purple (recommended)  /  Blue</w:t>
            </w:r>
          </w:p>
          <w:p>
            <w:pPr>
              <w:spacing w:after="140"/>
            </w:pPr>
            <w:r>
              <w:rPr>
                <w:b/>
                <w:bCs/>
                <w:color w:val="7B3DFF"/>
                <w:sz w:val="21"/>
                <w:szCs w:val="21"/>
              </w:rPr>
              <w:t xml:space="preserve">2. 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Typography:  </w:t>
            </w:r>
            <w:r>
              <w:rPr>
                <w:color w:val="666666"/>
                <w:sz w:val="20"/>
                <w:szCs w:val="20"/>
              </w:rPr>
              <w:t xml:space="preserve">Poppins + Inter (recommended)  /  Lora  /  Work Sans</w:t>
            </w:r>
          </w:p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Once confirmed, I'll apply this direction across the full website. Recommended hero visual: 3-story rotating workflow animation (Sales / Finance / Operations, specified in Part 1a), ready to build once colour and typography are locked in.</w:t>
            </w:r>
          </w:p>
        </w:tc>
      </w:tr>
    </w:tbl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1759a8b6fd49835cc61f11d131d976859a7ed4.png"/><Relationship Id="rId8" Type="http://schemas.openxmlformats.org/officeDocument/2006/relationships/image" Target="media/6bca1f1992eefaa9b9f39b58c0116f2d034da534.png"/><Relationship Id="rId9" Type="http://schemas.openxmlformats.org/officeDocument/2006/relationships/image" Target="media/44d824434316a33d94b86e16f60d5422148b2bfe.png"/><Relationship Id="rId10" Type="http://schemas.openxmlformats.org/officeDocument/2006/relationships/image" Target="media/88ae5054b9a411ca53d363613483bcd2d3a99321.png"/><Relationship Id="rId11" Type="http://schemas.openxmlformats.org/officeDocument/2006/relationships/image" Target="media/b1a88efa8e94b7f57e5d315ce9574f3bd25e0b79.png"/><Relationship Id="rId12" Type="http://schemas.openxmlformats.org/officeDocument/2006/relationships/image" Target="media/0d456b7647f7070197eb27e52614d7f62242a385.png"/><Relationship Id="rId13" Type="http://schemas.openxmlformats.org/officeDocument/2006/relationships/image" Target="media/6e568f8a0d71cb6fdd7730367ad15f1d8bcfbda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2026-08-13T04:31:53.003Z</dcterms:created>
  <dcterms:modified xsi:type="dcterms:W3CDTF">2026-08-13T04:31:53.022Z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