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aps/>
          <w:color w:val="1B4F9C"/>
          <w:sz w:val="17"/>
          <w:szCs w:val="17"/>
        </w:rPr>
        <w:t xml:space="preserve">Code map · Sentinel CCTV Federation</w:t>
      </w:r>
    </w:p>
    <w:p>
      <w:pPr>
        <w:spacing w:after="140"/>
      </w:pPr>
      <w:r>
        <w:rPr>
          <w:rFonts w:ascii="Cambria" w:cs="Cambria" w:eastAsia="Cambria" w:hAnsi="Cambria"/>
          <w:b/>
          <w:bCs/>
          <w:color w:val="12233F"/>
          <w:sz w:val="46"/>
          <w:szCs w:val="46"/>
        </w:rPr>
        <w:t xml:space="preserve">Every file, and what it actually does</w:t>
      </w:r>
    </w:p>
    <w:p>
      <w:pPr>
        <w:pBdr>
          <w:bottom w:val="single" w:color="1B4F9C" w:sz="12" w:space="8"/>
        </w:pBdr>
        <w:spacing w:after="120"/>
      </w:pPr>
      <w:r>
        <w:rPr>
          <w:rFonts w:ascii="Calibri" w:cs="Calibri" w:eastAsia="Calibri" w:hAnsi="Calibri"/>
          <w:color w:val="4D5A6B"/>
          <w:sz w:val="22"/>
          <w:szCs w:val="22"/>
        </w:rPr>
        <w:t xml:space="preserve">A walkthrough of the codebase by service — what each file is responsible for, why it exists as a separate thing, and where the load-bearing decisions live.</w:t>
      </w:r>
    </w:p>
    <w:p>
      <w:pPr>
        <w:spacing w:after="260"/>
      </w:pPr>
      <w:r>
        <w:rPr>
          <w:rFonts w:ascii="Consolas" w:cs="Consolas" w:eastAsia="Consolas" w:hAnsi="Consolas"/>
          <w:color w:val="75828F"/>
          <w:sz w:val="17"/>
          <w:szCs w:val="17"/>
        </w:rPr>
        <w:t xml:space="preserve">Inventory taken 21 August 2026   ·   5 services   ·   ~12,900 lines Python   ·   ~6,300 lines TypeScript   ·   138 tests</w:t>
      </w:r>
    </w:p>
    <w:p>
      <w:pPr>
        <w:pStyle w:val="Heading1"/>
        <w:pBdr>
          <w:bottom w:val="single" w:color="1B4F9C" w:sz="12" w:space="6"/>
        </w:pBdr>
        <w:spacing w:after="120" w:before="360"/>
      </w:pPr>
      <w:r>
        <w:rPr>
          <w:rFonts w:ascii="Cambria" w:cs="Cambria" w:eastAsia="Cambria" w:hAnsi="Cambria"/>
          <w:b/>
          <w:bCs/>
          <w:color w:val="12233F"/>
          <w:sz w:val="30"/>
          <w:szCs w:val="30"/>
        </w:rPr>
        <w:t xml:space="preserve">1. How the pieces fit</w:t>
      </w:r>
    </w:p>
    <w:p>
      <w:pPr>
        <w:spacing w:after="0" w:line="240"/>
      </w:pPr>
      <w:r>
        <w:rPr>
          <w:rFonts w:ascii="Consolas" w:cs="Consolas" w:eastAsia="Consolas" w:hAnsi="Consolas"/>
          <w:color w:val="4D5A6B"/>
          <w:sz w:val="16"/>
          <w:szCs w:val="16"/>
        </w:rPr>
        <w:t xml:space="preserve">traffic-vms   ─┐                                    ┌─► dashboard  (Next.js)</w:t>
      </w:r>
    </w:p>
    <w:p>
      <w:pPr>
        <w:spacing w:after="0" w:line="240"/>
      </w:pPr>
      <w:r>
        <w:rPr>
          <w:rFonts w:ascii="Consolas" w:cs="Consolas" w:eastAsia="Consolas" w:hAnsi="Consolas"/>
          <w:color w:val="4D5A6B"/>
          <w:sz w:val="16"/>
          <w:szCs w:val="16"/>
        </w:rPr>
        <w:t xml:space="preserve">(mock VMS 1)   │      ┌─────────────────────┐       │   proxies server-side so</w:t>
      </w:r>
    </w:p>
    <w:p>
      <w:pPr>
        <w:spacing w:after="0" w:line="240"/>
      </w:pPr>
      <w:r>
        <w:rPr>
          <w:rFonts w:ascii="Consolas" w:cs="Consolas" w:eastAsia="Consolas" w:hAnsi="Consolas"/>
          <w:color w:val="4D5A6B"/>
          <w:sz w:val="16"/>
          <w:szCs w:val="16"/>
        </w:rPr>
        <w:t xml:space="preserve">               ├─HTTP─►│    central-api      │───────┤   no token reaches the page</w:t>
      </w:r>
    </w:p>
    <w:p>
      <w:pPr>
        <w:spacing w:after="0" w:line="240"/>
      </w:pPr>
      <w:r>
        <w:rPr>
          <w:rFonts w:ascii="Consolas" w:cs="Consolas" w:eastAsia="Consolas" w:hAnsi="Consolas"/>
          <w:color w:val="4D5A6B"/>
          <w:sz w:val="16"/>
          <w:szCs w:val="16"/>
        </w:rPr>
        <w:t xml:space="preserve">municipal-vms ─┘      │  registry · RBAC ·  │       │</w:t>
      </w:r>
    </w:p>
    <w:p>
      <w:pPr>
        <w:spacing w:after="0" w:line="240"/>
      </w:pPr>
      <w:r>
        <w:rPr>
          <w:rFonts w:ascii="Consolas" w:cs="Consolas" w:eastAsia="Consolas" w:hAnsi="Consolas"/>
          <w:color w:val="4D5A6B"/>
          <w:sz w:val="16"/>
          <w:szCs w:val="16"/>
        </w:rPr>
        <w:t xml:space="preserve">(mock VMS 2)          │  audit · video      │       └─► API clients</w:t>
      </w:r>
    </w:p>
    <w:p>
      <w:pPr>
        <w:spacing w:after="0" w:line="240"/>
      </w:pPr>
      <w:r>
        <w:rPr>
          <w:rFonts w:ascii="Consolas" w:cs="Consolas" w:eastAsia="Consolas" w:hAnsi="Consolas"/>
          <w:color w:val="4D5A6B"/>
          <w:sz w:val="16"/>
          <w:szCs w:val="16"/>
        </w:rPr>
        <w:t xml:space="preserve">                      └──────────▲──────────┘</w:t>
      </w:r>
    </w:p>
    <w:p>
      <w:pPr>
        <w:spacing w:after="0" w:line="240"/>
      </w:pPr>
      <w:r>
        <w:rPr>
          <w:rFonts w:ascii="Consolas" w:cs="Consolas" w:eastAsia="Consolas" w:hAnsi="Consolas"/>
          <w:color w:val="4D5A6B"/>
          <w:sz w:val="16"/>
          <w:szCs w:val="16"/>
        </w:rPr>
        <w:t xml:space="preserve">                                 │ detections + plates (authenticated)</w:t>
      </w:r>
    </w:p>
    <w:p>
      <w:pPr>
        <w:spacing w:after="0" w:line="240"/>
      </w:pPr>
      <w:r>
        <w:rPr>
          <w:rFonts w:ascii="Consolas" w:cs="Consolas" w:eastAsia="Consolas" w:hAnsi="Consolas"/>
          <w:color w:val="4D5A6B"/>
          <w:sz w:val="16"/>
          <w:szCs w:val="16"/>
        </w:rPr>
        <w:t xml:space="preserve">                            edge-worker</w:t>
      </w:r>
    </w:p>
    <w:p>
      <w:pPr>
        <w:spacing w:after="0" w:line="240"/>
      </w:pPr>
      <w:r>
        <w:rPr>
          <w:rFonts w:ascii="Consolas" w:cs="Consolas" w:eastAsia="Consolas" w:hAnsi="Consolas"/>
          <w:color w:val="4D5A6B"/>
          <w:sz w:val="16"/>
          <w:szCs w:val="16"/>
        </w:rPr>
        <w:t xml:space="preserve">                     YOLO + ANPR beside the camera</w:t>
      </w:r>
    </w:p>
    <w:p>
      <w:pPr>
        <w:spacing w:after="0" w:line="240"/>
      </w:pPr>
      <w:r>
        <w:rPr>
          <w:rFonts w:ascii="Consolas" w:cs="Consolas" w:eastAsia="Consolas" w:hAnsi="Consolas"/>
          <w:color w:val="4D5A6B"/>
          <w:sz w:val="16"/>
          <w:szCs w:val="16"/>
        </w:rPr>
        <w:t xml:space="preserve">                   (central-api has zero CV dependencies)</w:t>
      </w:r>
    </w:p>
    <w:p>
      <w:pPr>
        <w:spacing w:after="180"/>
      </w:pPr>
    </w:p>
    <w:p>
      <w:pPr>
        <w:spacing w:after="140" w:line="276"/>
      </w:pPr>
      <w:r>
        <w:rPr>
          <w:rFonts w:ascii="Calibri" w:cs="Calibri" w:eastAsia="Calibri" w:hAnsi="Calibri"/>
          <w:color w:val="1D2733"/>
          <w:sz w:val="21"/>
          <w:szCs w:val="21"/>
        </w:rPr>
        <w:t xml:space="preserve">The shape matters: every vendor quirk is trapped in an adapter, all inference happens at the edge, and the browser never holds a credential. Those three boundaries explain most of the file layout below.</w:t>
      </w:r>
    </w:p>
    <w:p>
      <w:pPr>
        <w:spacing w:after="140" w:line="276"/>
      </w:pPr>
      <w:r>
        <w:rPr>
          <w:rFonts w:ascii="Calibri" w:cs="Calibri" w:eastAsia="Calibri" w:hAnsi="Calibri"/>
          <w:color w:val="1D2733"/>
          <w:sz w:val="21"/>
          <w:szCs w:val="21"/>
        </w:rPr>
        <w:t xml:space="preserve">Files marked </w:t>
      </w:r>
      <w:r>
        <w:rPr>
          <w:rFonts w:ascii="Calibri" w:cs="Calibri" w:eastAsia="Calibri" w:hAnsi="Calibri"/>
          <w:b/>
          <w:bCs/>
          <w:color w:val="1B4F9C"/>
          <w:sz w:val="21"/>
          <w:szCs w:val="21"/>
        </w:rPr>
        <w:t xml:space="preserve">★</w:t>
      </w:r>
      <w:r>
        <w:rPr>
          <w:rFonts w:ascii="Calibri" w:cs="Calibri" w:eastAsia="Calibri" w:hAnsi="Calibri"/>
          <w:color w:val="1D2733"/>
          <w:sz w:val="21"/>
          <w:szCs w:val="21"/>
        </w:rPr>
        <w:t xml:space="preserve"> are where the consequential decisions live.</w:t>
      </w:r>
    </w:p>
    <w:p>
      <w:pPr>
        <w:pStyle w:val="Heading1"/>
        <w:pBdr>
          <w:bottom w:val="single" w:color="1B4F9C" w:sz="12" w:space="6"/>
        </w:pBdr>
        <w:spacing w:after="120" w:before="360"/>
      </w:pPr>
      <w:r>
        <w:rPr>
          <w:rFonts w:ascii="Cambria" w:cs="Cambria" w:eastAsia="Cambria" w:hAnsi="Cambria"/>
          <w:b/>
          <w:bCs/>
          <w:color w:val="12233F"/>
          <w:sz w:val="30"/>
          <w:szCs w:val="30"/>
        </w:rPr>
        <w:t xml:space="preserve">2. central-api — FastAPI middleware</w:t>
      </w:r>
    </w:p>
    <w:p>
      <w:pPr>
        <w:spacing w:after="140" w:line="276"/>
      </w:pPr>
      <w:r>
        <w:rPr>
          <w:rFonts w:ascii="Calibri" w:cs="Calibri" w:eastAsia="Calibri" w:hAnsi="Calibri"/>
          <w:color w:val="4D5A6B"/>
          <w:sz w:val="21"/>
          <w:szCs w:val="21"/>
        </w:rPr>
        <w:t xml:space="preserve">The federation layer. Holds the canonical registry, decides who may see what, brokers video, and writes the audit trail. Runs no computer-vision code at all.</w:t>
      </w:r>
    </w:p>
    <w:p>
      <w:pPr>
        <w:pStyle w:val="Heading3"/>
        <w:spacing w:after="70" w:before="200"/>
      </w:pPr>
      <w:r>
        <w:rPr>
          <w:rFonts w:ascii="Calibri" w:cs="Calibri" w:eastAsia="Calibri" w:hAnsi="Calibri"/>
          <w:b/>
          <w:bCs/>
          <w:color w:val="12233F"/>
          <w:sz w:val="22"/>
          <w:szCs w:val="22"/>
        </w:rPr>
        <w:t xml:space="preserve">Core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100"/>
        <w:gridCol w:w="6360"/>
        <w:gridCol w:w="900"/>
      </w:tblGrid>
      <w:tr>
        <w:trPr>
          <w:tblHeader/>
        </w:trPr>
        <w:tc>
          <w:tcPr>
            <w:tcW w:type="dxa" w:w="21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63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main.py</w:t>
            </w:r>
          </w:p>
        </w:tc>
        <w:tc>
          <w:tcPr>
            <w:tcW w:type="dxa" w:w="6360"/>
            <w:tcMar>
              <w:top w:type="dxa" w:w="90"/>
              <w:left w:type="dxa" w:w="130"/>
              <w:bottom w:type="dxa" w:w="90"/>
              <w:right w:type="dxa" w:w="130"/>
            </w:tcMar>
          </w:tcPr>
          <w:p>
            <w:pPr>
              <w:spacing w:after="50"/>
            </w:pPr>
            <w:r>
              <w:rPr>
                <w:rFonts w:ascii="Calibri" w:cs="Calibri" w:eastAsia="Calibri" w:hAnsi="Calibri"/>
                <w:color w:val="1D2733"/>
                <w:sz w:val="20"/>
                <w:szCs w:val="20"/>
              </w:rPr>
              <w:t xml:space="preserve">App wiring: routers, startup sync, health monitor, response headers stating the access model.</w:t>
            </w:r>
          </w:p>
          <w:p>
            <w:pPr>
              <w:spacing w:after="0"/>
            </w:pPr>
            <w:r>
              <w:rPr>
                <w:rFonts w:ascii="Calibri" w:cs="Calibri" w:eastAsia="Calibri" w:hAnsi="Calibri"/>
                <w:i/>
                <w:iCs/>
                <w:color w:val="75828F"/>
                <w:sz w:val="17"/>
                <w:szCs w:val="17"/>
              </w:rPr>
              <w:t xml:space="preserve">Its docstring still claims no YOLO/ANPR — stale, flagged in the audit.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274</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config.py  ★</w:t>
            </w:r>
          </w:p>
        </w:tc>
        <w:tc>
          <w:tcPr>
            <w:tcW w:type="dxa" w:w="6360"/>
            <w:tcMar>
              <w:top w:type="dxa" w:w="90"/>
              <w:left w:type="dxa" w:w="130"/>
              <w:bottom w:type="dxa" w:w="90"/>
              <w:right w:type="dxa" w:w="130"/>
            </w:tcMar>
          </w:tcPr>
          <w:p>
            <w:pPr>
              <w:spacing w:after="50"/>
            </w:pPr>
            <w:r>
              <w:rPr>
                <w:rFonts w:ascii="Calibri" w:cs="Calibri" w:eastAsia="Calibri" w:hAnsi="Calibri"/>
                <w:color w:val="1D2733"/>
                <w:sz w:val="20"/>
                <w:szCs w:val="20"/>
              </w:rPr>
              <w:t xml:space="preserve">The policy file in disguise. 13 roles, their permissions, 16 demo accounts, department/city/zone scoping, feature switches.</w:t>
            </w:r>
          </w:p>
          <w:p>
            <w:pPr>
              <w:spacing w:after="0"/>
            </w:pPr>
            <w:r>
              <w:rPr>
                <w:rFonts w:ascii="Calibri" w:cs="Calibri" w:eastAsia="Calibri" w:hAnsi="Calibri"/>
                <w:i/>
                <w:iCs/>
                <w:color w:val="75828F"/>
                <w:sz w:val="17"/>
                <w:szCs w:val="17"/>
              </w:rPr>
              <w:t xml:space="preserve">Change who can do what here, nowhere else.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666</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schemas.py</w:t>
            </w:r>
          </w:p>
        </w:tc>
        <w:tc>
          <w:tcPr>
            <w:tcW w:type="dxa" w:w="6360"/>
            <w:tcMar>
              <w:top w:type="dxa" w:w="90"/>
              <w:left w:type="dxa" w:w="130"/>
              <w:bottom w:type="dxa" w:w="90"/>
              <w:right w:type="dxa" w:w="130"/>
            </w:tcMar>
          </w:tcPr>
          <w:p>
            <w:pPr>
              <w:spacing w:after="0"/>
            </w:pPr>
            <w:r>
              <w:rPr>
                <w:rFonts w:ascii="Calibri" w:cs="Calibri" w:eastAsia="Calibri" w:hAnsi="Calibri"/>
                <w:color w:val="1D2733"/>
                <w:sz w:val="20"/>
                <w:szCs w:val="20"/>
              </w:rPr>
              <w:t xml:space="preserve">Every Pydantic model — canonical camera, detections, video sessions, grants. The contract the whole system agrees on.</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1278</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models.py</w:t>
            </w:r>
          </w:p>
        </w:tc>
        <w:tc>
          <w:tcPr>
            <w:tcW w:type="dxa" w:w="6360"/>
            <w:tcMar>
              <w:top w:type="dxa" w:w="90"/>
              <w:left w:type="dxa" w:w="130"/>
              <w:bottom w:type="dxa" w:w="90"/>
              <w:right w:type="dxa" w:w="130"/>
            </w:tcMar>
          </w:tcPr>
          <w:p>
            <w:pPr>
              <w:spacing w:after="0"/>
            </w:pPr>
            <w:r>
              <w:rPr>
                <w:rFonts w:ascii="Calibri" w:cs="Calibri" w:eastAsia="Calibri" w:hAnsi="Calibri"/>
                <w:color w:val="1D2733"/>
                <w:sz w:val="20"/>
                <w:szCs w:val="20"/>
              </w:rPr>
              <w:t xml:space="preserve">SQLAlchemy tables: cameras, detections (with plate columns), sessions, grants, audit log, vehicles.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658</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mappers.py</w:t>
            </w:r>
          </w:p>
        </w:tc>
        <w:tc>
          <w:tcPr>
            <w:tcW w:type="dxa" w:w="6360"/>
            <w:tcMar>
              <w:top w:type="dxa" w:w="90"/>
              <w:left w:type="dxa" w:w="130"/>
              <w:bottom w:type="dxa" w:w="90"/>
              <w:right w:type="dxa" w:w="130"/>
            </w:tcMar>
          </w:tcPr>
          <w:p>
            <w:pPr>
              <w:spacing w:after="0"/>
            </w:pPr>
            <w:r>
              <w:rPr>
                <w:rFonts w:ascii="Calibri" w:cs="Calibri" w:eastAsia="Calibri" w:hAnsi="Calibri"/>
                <w:color w:val="1D2733"/>
                <w:sz w:val="20"/>
                <w:szCs w:val="20"/>
              </w:rPr>
              <w:t xml:space="preserve">Database row to API shape, applying per-reader redaction. Cross-department readers are capped here.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278</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dependencies.py</w:t>
            </w:r>
          </w:p>
        </w:tc>
        <w:tc>
          <w:tcPr>
            <w:tcW w:type="dxa" w:w="6360"/>
            <w:tcMar>
              <w:top w:type="dxa" w:w="90"/>
              <w:left w:type="dxa" w:w="130"/>
              <w:bottom w:type="dxa" w:w="90"/>
              <w:right w:type="dxa" w:w="130"/>
            </w:tcMar>
          </w:tcPr>
          <w:p>
            <w:pPr>
              <w:spacing w:after="0"/>
            </w:pPr>
            <w:r>
              <w:rPr>
                <w:rFonts w:ascii="Calibri" w:cs="Calibri" w:eastAsia="Calibri" w:hAnsi="Calibri"/>
                <w:color w:val="1D2733"/>
                <w:sz w:val="20"/>
                <w:szCs w:val="20"/>
              </w:rPr>
              <w:t xml:space="preserve">FastAPI injectables: current user, permission guards, settings, adapter registry, client IP.</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168</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database.py</w:t>
            </w:r>
          </w:p>
        </w:tc>
        <w:tc>
          <w:tcPr>
            <w:tcW w:type="dxa" w:w="6360"/>
            <w:tcMar>
              <w:top w:type="dxa" w:w="90"/>
              <w:left w:type="dxa" w:w="130"/>
              <w:bottom w:type="dxa" w:w="90"/>
              <w:right w:type="dxa" w:w="130"/>
            </w:tcMar>
          </w:tcPr>
          <w:p>
            <w:pPr>
              <w:spacing w:after="50"/>
            </w:pPr>
            <w:r>
              <w:rPr>
                <w:rFonts w:ascii="Calibri" w:cs="Calibri" w:eastAsia="Calibri" w:hAnsi="Calibri"/>
                <w:color w:val="1D2733"/>
                <w:sz w:val="20"/>
                <w:szCs w:val="20"/>
              </w:rPr>
              <w:t xml:space="preserve">Async engine and session factory; create_all on boot.</w:t>
            </w:r>
          </w:p>
          <w:p>
            <w:pPr>
              <w:spacing w:after="0"/>
            </w:pPr>
            <w:r>
              <w:rPr>
                <w:rFonts w:ascii="Calibri" w:cs="Calibri" w:eastAsia="Calibri" w:hAnsi="Calibri"/>
                <w:i/>
                <w:iCs/>
                <w:color w:val="75828F"/>
                <w:sz w:val="17"/>
                <w:szCs w:val="17"/>
              </w:rPr>
              <w:t xml:space="preserve">No migration tool — the source of the schema-drift issues hit twice.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67</w:t>
            </w:r>
          </w:p>
        </w:tc>
      </w:tr>
    </w:tbl>
    <w:p>
      <w:pPr>
        <w:pStyle w:val="Heading3"/>
        <w:spacing w:after="70" w:before="200"/>
      </w:pPr>
      <w:r>
        <w:rPr>
          <w:rFonts w:ascii="Calibri" w:cs="Calibri" w:eastAsia="Calibri" w:hAnsi="Calibri"/>
          <w:b/>
          <w:bCs/>
          <w:color w:val="12233F"/>
          <w:sz w:val="22"/>
          <w:szCs w:val="22"/>
        </w:rPr>
        <w:t xml:space="preserve">Adapters — where vendor differences die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400"/>
        <w:gridCol w:w="6060"/>
        <w:gridCol w:w="900"/>
      </w:tblGrid>
      <w:tr>
        <w:trPr>
          <w:tblHeader/>
        </w:trPr>
        <w:tc>
          <w:tcPr>
            <w:tcW w:type="dxa" w:w="24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60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adapters/base.py  ★</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The contract every department system must satisfy, plus the canonical error taxonomy. An upstream 401 becomes our 502, because their rejecting our credential is a middleware fault, not the operator's.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406</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adapters/traffic_adapter.py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Speaks the Traffic dialect: flat snake_case, IST wall-clock strings, X-API-Key, {status, records} envelope.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426</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adapters/municipal_adapter.py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Speaks the Municipal dialect: nested camelCase, epoch milliseconds, Bearer token, different lifecycle words.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433</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video_adapters.py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Separate contract for video. Kept apart from metadata deliberately: a department can federate its register without exposing a single frame.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313</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providers/*.py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Camera-source strategies — mock, federated (default), and official, which stays inert and refuses with a configuration error until real credentials exist.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852</w:t>
            </w:r>
          </w:p>
        </w:tc>
      </w:tr>
    </w:tbl>
    <w:p>
      <w:pPr>
        <w:pStyle w:val="Heading3"/>
        <w:spacing w:after="70" w:before="200"/>
      </w:pPr>
      <w:r>
        <w:rPr>
          <w:rFonts w:ascii="Calibri" w:cs="Calibri" w:eastAsia="Calibri" w:hAnsi="Calibri"/>
          <w:b/>
          <w:bCs/>
          <w:color w:val="12233F"/>
          <w:sz w:val="22"/>
          <w:szCs w:val="22"/>
        </w:rPr>
        <w:t xml:space="preserve">Services — the decisions</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400"/>
        <w:gridCol w:w="6060"/>
        <w:gridCol w:w="900"/>
      </w:tblGrid>
      <w:tr>
        <w:trPr>
          <w:tblHeader/>
        </w:trPr>
        <w:tc>
          <w:tcPr>
            <w:tcW w:type="dxa" w:w="24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60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video_permissions.py  ★</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The single authorisation decision point for footage: account active, role, camera state, own-unit-or-grant, city/zone, then which modes survive. Camera state is checked before scope so a grant can never smuggle access to a suspended camera.</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194</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video_broker.py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Opens a session, clamps expiry to the upstream ticket, proxies bytes range-aware, re-authorises every read. Validates playback windows against retention.</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469</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video_grants.py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The ask-the-owning-unit flow: request, grant, deny, revoke. Grants are personal, time-boxed and revocable.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217</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sync_service.py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Pulls metadata from every department concurrently and independently. One system down produces one error entry, not a failed sync.</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519</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normalization.py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The one place that knows SYNCED and synchronized are the same thing, and that one system sends IST strings while the other sends epoch ms.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330</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installation_service.py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Routes onboarding writes to the owning department's own system and mirrors the result. Degrades to the mirror when that system is unreachable.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281</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policy_service.py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Who may read a camera record, and how deeply. Also may_read_detections, kept separate on purpose — a detection is content about a place, not an asset record.</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182</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audit_service.py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One writer for the trail: every action, outcome, actor, department and reason.</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142</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health_monitor.py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Background poller; per-camera status, latency, reconnect counts.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201</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vehicle_service.py</w:t>
            </w:r>
          </w:p>
        </w:tc>
        <w:tc>
          <w:tcPr>
            <w:tcW w:type="dxa" w:w="6060"/>
            <w:tcMar>
              <w:top w:type="dxa" w:w="90"/>
              <w:left w:type="dxa" w:w="130"/>
              <w:bottom w:type="dxa" w:w="90"/>
              <w:right w:type="dxa" w:w="130"/>
            </w:tcMar>
          </w:tcPr>
          <w:p>
            <w:pPr>
              <w:spacing w:after="50"/>
            </w:pPr>
            <w:r>
              <w:rPr>
                <w:rFonts w:ascii="Calibri" w:cs="Calibri" w:eastAsia="Calibri" w:hAnsi="Calibri"/>
                <w:color w:val="1D2733"/>
                <w:sz w:val="20"/>
                <w:szCs w:val="20"/>
              </w:rPr>
              <w:t xml:space="preserve">Standalone vehicle reference registry. Refuses owner/personal fields outright on import.</w:t>
            </w:r>
          </w:p>
          <w:p>
            <w:pPr>
              <w:spacing w:after="0"/>
            </w:pPr>
            <w:r>
              <w:rPr>
                <w:rFonts w:ascii="Calibri" w:cs="Calibri" w:eastAsia="Calibri" w:hAnsi="Calibri"/>
                <w:i/>
                <w:iCs/>
                <w:color w:val="75828F"/>
                <w:sz w:val="17"/>
                <w:szCs w:val="17"/>
              </w:rPr>
              <w:t xml:space="preserve">Currently empty in the container — the Dockerfile never copies the data.</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263</w:t>
            </w:r>
          </w:p>
        </w:tc>
      </w:tr>
    </w:tbl>
    <w:p>
      <w:pPr>
        <w:pStyle w:val="Heading3"/>
        <w:spacing w:after="70" w:before="200"/>
      </w:pPr>
      <w:r>
        <w:rPr>
          <w:rFonts w:ascii="Calibri" w:cs="Calibri" w:eastAsia="Calibri" w:hAnsi="Calibri"/>
          <w:b/>
          <w:bCs/>
          <w:color w:val="12233F"/>
          <w:sz w:val="22"/>
          <w:szCs w:val="22"/>
        </w:rPr>
        <w:t xml:space="preserve">Routers — the HTTP surface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400"/>
        <w:gridCol w:w="6060"/>
        <w:gridCol w:w="900"/>
      </w:tblGrid>
      <w:tr>
        <w:trPr>
          <w:tblHeader/>
        </w:trPr>
        <w:tc>
          <w:tcPr>
            <w:tcW w:type="dxa" w:w="24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60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Endpoints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detections.py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Ingest from edge workers, query detections, detector health. Withholds plate text from accounts lacking plate:read and audits every disclosure.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542</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video_sessions.py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Open a session, stream bytes, status, revoke. Refusals carry a state so "ask the owner" is distinguishable from "never".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417</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installation_requests.py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Create, edit, submit, suspend, decommission, sync. No approve/reject — validation is the only gate.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366</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cameras.py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The registry: list, detail, health, access policy. Federation-wide, depth-capped per reader.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347</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events.py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Normalised events plus geographic correlation — pairs of events at nearby cameras in a time window.</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268</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video_grants.py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The access-request queue for both sides of the conversation.</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267</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vehicles, reports, directory, sources, overview, audit, auth, health</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Vehicle lookup; gap analysis; city/zone directory; source registry and sync trigger; dashboard counts; audit query; login; liveness.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859</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3. edge-worker — inference beside the camera</w:t>
      </w:r>
    </w:p>
    <w:p>
      <w:pPr>
        <w:spacing w:after="140" w:line="276"/>
      </w:pPr>
      <w:r>
        <w:rPr>
          <w:rFonts w:ascii="Calibri" w:cs="Calibri" w:eastAsia="Calibri" w:hAnsi="Calibri"/>
          <w:color w:val="4D5A6B"/>
          <w:sz w:val="21"/>
          <w:szCs w:val="21"/>
        </w:rPr>
        <w:t xml:space="preserve">Runs where the camera is. Pulls frames through the same brokered, audited path a human operator would, runs the models locally, and posts only results. The central API never receives a frame.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100"/>
        <w:gridCol w:w="6360"/>
        <w:gridCol w:w="900"/>
      </w:tblGrid>
      <w:tr>
        <w:trPr>
          <w:tblHeader/>
        </w:trPr>
        <w:tc>
          <w:tcPr>
            <w:tcW w:type="dxa" w:w="21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63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worker.py  ★</w:t>
            </w:r>
          </w:p>
        </w:tc>
        <w:tc>
          <w:tcPr>
            <w:tcW w:type="dxa" w:w="6360"/>
            <w:tcMar>
              <w:top w:type="dxa" w:w="90"/>
              <w:left w:type="dxa" w:w="130"/>
              <w:bottom w:type="dxa" w:w="90"/>
              <w:right w:type="dxa" w:w="130"/>
            </w:tcMar>
          </w:tcPr>
          <w:p>
            <w:pPr>
              <w:spacing w:after="0"/>
            </w:pPr>
            <w:r>
              <w:rPr>
                <w:rFonts w:ascii="Calibri" w:cs="Calibri" w:eastAsia="Calibri" w:hAnsi="Calibri"/>
                <w:color w:val="1D2733"/>
                <w:sz w:val="20"/>
                <w:szCs w:val="20"/>
              </w:rPr>
              <w:t xml:space="preserve">The loop and the supervisor. Signs in, opens an authorised session or reads a clip, samples frames, routes them by quality, runs detection and ANPR, batches results and ingests them. --all-cameras --forever cycles a whole site; the model loads once per process and one camera failing does not stop the rest.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613</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detectors.py</w:t>
            </w:r>
          </w:p>
        </w:tc>
        <w:tc>
          <w:tcPr>
            <w:tcW w:type="dxa" w:w="6360"/>
            <w:tcMar>
              <w:top w:type="dxa" w:w="90"/>
              <w:left w:type="dxa" w:w="130"/>
              <w:bottom w:type="dxa" w:w="90"/>
              <w:right w:type="dxa" w:w="130"/>
            </w:tcMar>
          </w:tcPr>
          <w:p>
            <w:pPr>
              <w:spacing w:after="0"/>
            </w:pPr>
            <w:r>
              <w:rPr>
                <w:rFonts w:ascii="Calibri" w:cs="Calibri" w:eastAsia="Calibri" w:hAnsi="Calibri"/>
                <w:color w:val="1D2733"/>
                <w:sz w:val="20"/>
                <w:szCs w:val="20"/>
              </w:rPr>
              <w:t xml:space="preserve">ObjectDetector contract, a mock, and the real Ultralytics YOLO detector. Maps COCO's 80 classes down to the seven the registry accepts and discards the rest, so a traffic light can never arrive as a vehicle.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455</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plates.py  ★</w:t>
            </w:r>
          </w:p>
        </w:tc>
        <w:tc>
          <w:tcPr>
            <w:tcW w:type="dxa" w:w="6360"/>
            <w:tcMar>
              <w:top w:type="dxa" w:w="90"/>
              <w:left w:type="dxa" w:w="130"/>
              <w:bottom w:type="dxa" w:w="90"/>
              <w:right w:type="dxa" w:w="130"/>
            </w:tcMar>
          </w:tcPr>
          <w:p>
            <w:pPr>
              <w:spacing w:after="0"/>
            </w:pPr>
            <w:r>
              <w:rPr>
                <w:rFonts w:ascii="Calibri" w:cs="Calibri" w:eastAsia="Calibri" w:hAnsi="Calibri"/>
                <w:color w:val="1D2733"/>
                <w:sz w:val="20"/>
                <w:szCs w:val="20"/>
              </w:rPr>
              <w:t xml:space="preserve">ANPR. Crops the plate region of vehicles only, OCRs it, joins fragments OCR returns separately, then parses with minimum-edit segmentation and validates the state code against real Indian codes. Anything that does not parse is dropped at the edge.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389</w:t>
            </w:r>
          </w:p>
        </w:tc>
      </w:tr>
      <w:tr>
        <w:tc>
          <w:tcPr>
            <w:tcW w:type="dxa" w:w="2100"/>
            <w:tcMar>
              <w:top w:type="dxa" w:w="90"/>
              <w:left w:type="dxa" w:w="130"/>
              <w:bottom w:type="dxa" w:w="90"/>
              <w:right w:type="dxa" w:w="130"/>
            </w:tcMar>
          </w:tcPr>
          <w:p>
            <w:pPr>
              <w:spacing w:after="0"/>
            </w:pPr>
            <w:r>
              <w:rPr>
                <w:rFonts w:ascii="Consolas" w:cs="Consolas" w:eastAsia="Consolas" w:hAnsi="Consolas"/>
                <w:color w:val="1D2733"/>
                <w:sz w:val="18"/>
                <w:szCs w:val="18"/>
              </w:rPr>
              <w:t xml:space="preserve">frame_quality.py</w:t>
            </w:r>
          </w:p>
        </w:tc>
        <w:tc>
          <w:tcPr>
            <w:tcW w:type="dxa" w:w="6360"/>
            <w:tcMar>
              <w:top w:type="dxa" w:w="90"/>
              <w:left w:type="dxa" w:w="130"/>
              <w:bottom w:type="dxa" w:w="90"/>
              <w:right w:type="dxa" w:w="130"/>
            </w:tcMar>
          </w:tcPr>
          <w:p>
            <w:pPr>
              <w:spacing w:after="0"/>
            </w:pPr>
            <w:r>
              <w:rPr>
                <w:rFonts w:ascii="Calibri" w:cs="Calibri" w:eastAsia="Calibri" w:hAnsi="Calibri"/>
                <w:color w:val="1D2733"/>
                <w:sz w:val="20"/>
                <w:szCs w:val="20"/>
              </w:rPr>
              <w:t xml:space="preserve">Classifies each frame normal / low-light / overexposed / blurred and decides whether inference is worth running. Exposure is checked before blur, because darkness and clipping both flatten edge variance and would otherwise read as blur.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305</w:t>
            </w:r>
          </w:p>
        </w:tc>
      </w:tr>
    </w:tbl>
    <w:p>
      <w:pPr>
        <w:spacing w:after="140"/>
      </w:pPr>
    </w:p>
    <w:tbl>
      <w:tblPr>
        <w:tblW w:type="dxa" w:w="9360"/>
        <w:tblBorders>
          <w:top w:val="single" w:color="D9DFE7" w:sz="2"/>
          <w:left w:val="single" w:color="1B4F9C"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1B4F9C"/>
                <w:sz w:val="21"/>
                <w:szCs w:val="21"/>
              </w:rPr>
              <w:t xml:space="preserve">Why ANPR is its own file, not part of the detector</w:t>
            </w:r>
          </w:p>
          <w:p>
            <w:pPr>
              <w:spacing w:after="60" w:line="276"/>
            </w:pPr>
            <w:r>
              <w:rPr>
                <w:rFonts w:ascii="Calibri" w:cs="Calibri" w:eastAsia="Calibri" w:hAnsi="Calibri"/>
                <w:color w:val="4D5A6B"/>
                <w:sz w:val="21"/>
                <w:szCs w:val="21"/>
              </w:rPr>
              <w:t xml:space="preserve">A registration number is personal data; an object class is not. Keeping the reader separate means ANPR can be switched off entirely, has its own confidence floor and its own failure mode, and cannot be enabled by accident when someone turns on object detection.</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4. dashboard — Next.js console</w:t>
      </w:r>
    </w:p>
    <w:p>
      <w:pPr>
        <w:spacing w:after="140" w:line="276"/>
      </w:pPr>
      <w:r>
        <w:rPr>
          <w:rFonts w:ascii="Calibri" w:cs="Calibri" w:eastAsia="Calibri" w:hAnsi="Calibri"/>
          <w:color w:val="4D5A6B"/>
          <w:sz w:val="21"/>
          <w:szCs w:val="21"/>
        </w:rPr>
        <w:t xml:space="preserve">App Router, server-side proxy, httpOnly session cookie. Page scripts never hold a token and never learn the central API's address.</w:t>
      </w:r>
    </w:p>
    <w:p>
      <w:pPr>
        <w:pStyle w:val="Heading3"/>
        <w:spacing w:after="70" w:before="200"/>
      </w:pPr>
      <w:r>
        <w:rPr>
          <w:rFonts w:ascii="Calibri" w:cs="Calibri" w:eastAsia="Calibri" w:hAnsi="Calibri"/>
          <w:b/>
          <w:bCs/>
          <w:color w:val="12233F"/>
          <w:sz w:val="22"/>
          <w:szCs w:val="22"/>
        </w:rPr>
        <w:t xml:space="preserve">Plumbing</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3000"/>
        <w:gridCol w:w="5460"/>
        <w:gridCol w:w="900"/>
      </w:tblGrid>
      <w:tr>
        <w:trPr>
          <w:tblHeader/>
        </w:trPr>
        <w:tc>
          <w:tcPr>
            <w:tcW w:type="dxa" w:w="30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54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app/api/sentinel/[...path]/route.ts  ★</w:t>
            </w:r>
          </w:p>
        </w:tc>
        <w:tc>
          <w:tcPr>
            <w:tcW w:type="dxa" w:w="5460"/>
            <w:tcMar>
              <w:top w:type="dxa" w:w="90"/>
              <w:left w:type="dxa" w:w="130"/>
              <w:bottom w:type="dxa" w:w="90"/>
              <w:right w:type="dxa" w:w="130"/>
            </w:tcMar>
          </w:tcPr>
          <w:p>
            <w:pPr>
              <w:spacing w:after="50"/>
            </w:pPr>
            <w:r>
              <w:rPr>
                <w:rFonts w:ascii="Calibri" w:cs="Calibri" w:eastAsia="Calibri" w:hAnsi="Calibri"/>
                <w:color w:val="1D2733"/>
                <w:sz w:val="20"/>
                <w:szCs w:val="20"/>
              </w:rPr>
              <w:t xml:space="preserve">The proxy. Attaches the bearer token server-side and pipes the response straight through, forwarding Range both ways.</w:t>
            </w:r>
          </w:p>
          <w:p>
            <w:pPr>
              <w:spacing w:after="0"/>
            </w:pPr>
            <w:r>
              <w:rPr>
                <w:rFonts w:ascii="Calibri" w:cs="Calibri" w:eastAsia="Calibri" w:hAnsi="Calibri"/>
                <w:i/>
                <w:iCs/>
                <w:color w:val="75828F"/>
                <w:sz w:val="17"/>
                <w:szCs w:val="17"/>
              </w:rPr>
              <w:t xml:space="preserve">Used to call .text() — lossless for JSON, fatal for video. That inflated a 6.7 MB clip to 12.3 MB of unplayable bytes.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106</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lib/api.ts</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Typed client for every endpoint, including the paged-camera envelope that once crashed the registry page.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298</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lib/types.ts</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The TypeScript mirror of the API contract.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559</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lib/csv.ts, lib/format.ts</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RFC 4180 CSV for export and bulk import; IST timestamp and relative-time formatting.</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263</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middleware.ts</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Redirects unauthenticated routes to sign-in. A convenience only — the API authorises independently.</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38</w:t>
            </w:r>
          </w:p>
        </w:tc>
      </w:tr>
    </w:tbl>
    <w:p>
      <w:pPr>
        <w:pStyle w:val="Heading3"/>
        <w:spacing w:after="70" w:before="200"/>
      </w:pPr>
      <w:r>
        <w:rPr>
          <w:rFonts w:ascii="Calibri" w:cs="Calibri" w:eastAsia="Calibri" w:hAnsi="Calibri"/>
          <w:b/>
          <w:bCs/>
          <w:color w:val="12233F"/>
          <w:sz w:val="22"/>
          <w:szCs w:val="22"/>
        </w:rPr>
        <w:t xml:space="preserve">Components</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700"/>
        <w:gridCol w:w="5760"/>
        <w:gridCol w:w="900"/>
      </w:tblGrid>
      <w:tr>
        <w:trPr>
          <w:tblHeader/>
        </w:trPr>
        <w:tc>
          <w:tcPr>
            <w:tcW w:type="dxa" w:w="27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57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components/ui.tsx</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The design system: pills for every status vocabulary, cards, notices, page headers. FootageNotice is state-aware — it says "you may view", "ask the owner" or "owner has video off" rather than one generic banner.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393</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components/InstallationForm.tsx</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The five-step onboarding form: identity, ownership/location, technical, local policy, review.</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764</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components/VideoPlayer.tsx  ★</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Authorised viewing with the conditions on screen: mandatory reason, live loops, playback asks for date and from/to, expiry counts down, watermark and audit id shown. Playback repeats freely for different windows.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380</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components/RegistryMap.tsx</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Leaflet plus OpenStreetMap. No API key, no vendor account.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218</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components/Shell.tsx</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Nav, header, health dot, sign-out. Nav items are permission-gated.</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241</w:t>
            </w:r>
          </w:p>
        </w:tc>
      </w:tr>
    </w:tbl>
    <w:p>
      <w:pPr>
        <w:pStyle w:val="Heading3"/>
        <w:spacing w:after="70" w:before="200"/>
      </w:pPr>
      <w:r>
        <w:rPr>
          <w:rFonts w:ascii="Calibri" w:cs="Calibri" w:eastAsia="Calibri" w:hAnsi="Calibri"/>
          <w:b/>
          <w:bCs/>
          <w:color w:val="12233F"/>
          <w:sz w:val="22"/>
          <w:szCs w:val="22"/>
        </w:rPr>
        <w:t xml:space="preserve">Pages</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3000"/>
        <w:gridCol w:w="5460"/>
        <w:gridCol w:w="900"/>
      </w:tblGrid>
      <w:tr>
        <w:trPr>
          <w:tblHeader/>
        </w:trPr>
        <w:tc>
          <w:tcPr>
            <w:tcW w:type="dxa" w:w="30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Route</w:t>
            </w:r>
          </w:p>
        </w:tc>
        <w:tc>
          <w:tcPr>
            <w:tcW w:type="dxa" w:w="54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Operations overview — register counts, onboarding pipeline, health, federated systems, sync trigger.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321</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/registry</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The camera table and map. Per-camera Video column plus a Watch button that deep-links into the player.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406</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/registry/[cameraId]</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Full record, health check, the player, and "Request access" when another unit owns it.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587</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/detections</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Object and plate results. Loads nothing until asked, and shows no running totals — deliberate.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297</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/access-requests</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Both sides of the footage conversation: what you asked for, what your unit owes an answer on.</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302</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/installations + /new + /bulk + /[requestId]</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The onboarding pipeline: list, single form, CSV bulk upload, and the per-record lifecycle.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1462</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/events, /audit, /reports/gap-analysis, /login, /policy</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Federated events and correlation; the audit trail; coverage and ageing report; sign-in; per-camera access policy.</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1189</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5. Mock department systems</w:t>
      </w:r>
    </w:p>
    <w:p>
      <w:pPr>
        <w:spacing w:after="140" w:line="276"/>
      </w:pPr>
      <w:r>
        <w:rPr>
          <w:rFonts w:ascii="Calibri" w:cs="Calibri" w:eastAsia="Calibri" w:hAnsi="Calibri"/>
          <w:color w:val="4D5A6B"/>
          <w:sz w:val="21"/>
          <w:szCs w:val="21"/>
        </w:rPr>
        <w:t xml:space="preserve">Two standalone FastAPI services that behave like real, different VMS products. They are what makes the federation claim testable rather than asserted.</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400"/>
        <w:gridCol w:w="6060"/>
        <w:gridCol w:w="900"/>
      </w:tblGrid>
      <w:tr>
        <w:trPr>
          <w:tblHeader/>
        </w:trPr>
        <w:tc>
          <w:tcPr>
            <w:tcW w:type="dxa" w:w="24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60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traffic-vms/app/main.py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Gujarat Traffic Police VMS. Flat snake_case, IST wall-clock, X-API-Key. Holds its own installation register, validates submissions (including a jurisdiction bounding box), issues short-lived media tickets, and serves recorded segments for a requested window.</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892</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municipal-vms/app/main.py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Municipal Corporation VMS. Nested camelCase, epoch-ms, Bearer auth, different lifecycle vocabulary — deliberately incompatible so the adapter layer has to earn its place.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783</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*/data/*.json</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Seed registers and events for each department, in that department's own dialect.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6. tests — 138 passing</w:t>
      </w:r>
    </w:p>
    <w:p>
      <w:pPr>
        <w:spacing w:after="140" w:line="276"/>
      </w:pPr>
      <w:r>
        <w:rPr>
          <w:rFonts w:ascii="Calibri" w:cs="Calibri" w:eastAsia="Calibri" w:hAnsi="Calibri"/>
          <w:color w:val="4D5A6B"/>
          <w:sz w:val="21"/>
          <w:szCs w:val="21"/>
        </w:rPr>
        <w:t xml:space="preserve">Driven in-process over real HTTP via httpx.ASGITransport, so requests traverse the genuine routing, auth and serialisation path — not a mocked one.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400"/>
        <w:gridCol w:w="6060"/>
        <w:gridCol w:w="900"/>
      </w:tblGrid>
      <w:tr>
        <w:trPr>
          <w:tblHeader/>
        </w:trPr>
        <w:tc>
          <w:tcPr>
            <w:tcW w:type="dxa" w:w="24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60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guards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conftest.py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Fixtures: both mocks wired to the API by hostname router, per-test database, 16 logins, camera fixtures, a secret-leak assertion helper.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372</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test_detections.py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Ingest, scoping, frame quality, the supervisor, plate normalisation, plate RBAC, plate audit.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715</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test_video_access.py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The full permission matrix, session binding, expiry, playback windows, retention, oversight roles.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562</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test_vehicles.py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Reference registry: import, lookup, search, and the refusal to accept owner fields.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284</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test_video_grants.py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Cross-unit requests: only the owner decides, grants are personal, narrowable, revocable.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254</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test_installation_flow.py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Onboarding lifecycle, validation as the only gate, registration-gated sync.</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211</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test_yolo_on_cctv.py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Real YOLO over the real clip. Skips cleanly without the CV stack, so the base suite still runs.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197</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test_federation.py, test_resources.py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Canonical shape across dialects, redaction depth, outage isolation, provider modes.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325</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7. Scripts, data and infrastructure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700"/>
        <w:gridCol w:w="5760"/>
        <w:gridCol w:w="900"/>
      </w:tblGrid>
      <w:tr>
        <w:trPr>
          <w:tblHeader/>
        </w:trPr>
        <w:tc>
          <w:tcPr>
            <w:tcW w:type="dxa" w:w="27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57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scripts/edge-worker.ps1 / .sh</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Launchers that settle working directory, interpreter and environment. They exist because python -m app.worker only resolves from inside the worker directory with the project venv — getting it wrong gives a confusing "No module named 'app'".</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181</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scripts/generate_demo_videos.py</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Draws the original synthetic clips with ffmpeg primitives, watermarked as synthetic. No real footage, no real portal.</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213</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data/videos/traffic/</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The supplied 4K street clip, a 720p stream-friendly encode of it, and the older synthetic clips.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data/reference/vehicle_registry.json</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Synthetic vehicle reference data — not copied into the container, which is why the registry serves zero rows.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weights/yolo11n.pt</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YOLO11 nano weights, 5.6 MB. EasyOCR's two models live in ~/.EasyOCR/model/.</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docker-compose.yml</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Five services: postgres, two mock VMS, central-api, dashboard.</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119</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8. Documentation</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700"/>
        <w:gridCol w:w="5760"/>
        <w:gridCol w:w="900"/>
      </w:tblGrid>
      <w:tr>
        <w:trPr>
          <w:tblHeader/>
        </w:trPr>
        <w:tc>
          <w:tcPr>
            <w:tcW w:type="dxa" w:w="27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57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Covers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docs/access-model.md  ★</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The load-bearing one: who can see what and why. Seeing a camera is a federation question; watching it is the owning unit's decision.</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236</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docs/api.md</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Every endpoint, the role and permission table, request and response shapes.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616</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docs/yolo-setup.md</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Model install, running continuously across many cameras, and the scaling argument.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398</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docs/adapter-contract.md</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What a new department adapter must implement, and the checklist to add one.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181</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docs/demo-script.md</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The walkthrough to run in front of judges.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167</w:t>
            </w:r>
          </w:p>
        </w:tc>
      </w:tr>
      <w:tr>
        <w:tc>
          <w:tcPr>
            <w:tcW w:type="dxa" w:w="27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docs/anpr.md</w:t>
            </w:r>
          </w:p>
        </w:tc>
        <w:tc>
          <w:tcPr>
            <w:tcW w:type="dxa" w:w="5760"/>
            <w:tcMar>
              <w:top w:type="dxa" w:w="90"/>
              <w:left w:type="dxa" w:w="130"/>
              <w:bottom w:type="dxa" w:w="90"/>
              <w:right w:type="dxa" w:w="130"/>
            </w:tcMar>
          </w:tcPr>
          <w:p>
            <w:pPr>
              <w:spacing w:after="0"/>
            </w:pPr>
            <w:r>
              <w:rPr>
                <w:rFonts w:ascii="Calibri" w:cs="Calibri" w:eastAsia="Calibri" w:hAnsi="Calibri"/>
                <w:color w:val="1D2733"/>
                <w:sz w:val="20"/>
                <w:szCs w:val="20"/>
              </w:rPr>
              <w:t xml:space="preserve">ANPR controls, permissions, retention, and the measured accuracy with both observed failure modes.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150</w:t>
            </w:r>
          </w:p>
        </w:tc>
      </w:tr>
    </w:tbl>
    <w:p>
      <w:pPr>
        <w:spacing w:after="160"/>
      </w:pPr>
    </w:p>
    <w:tbl>
      <w:tblPr>
        <w:tblW w:type="dxa" w:w="9360"/>
        <w:tblBorders>
          <w:top w:val="single" w:color="D9DFE7" w:sz="2"/>
          <w:left w:val="single" w:color="1B4F9C"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1B4F9C"/>
                <w:sz w:val="21"/>
                <w:szCs w:val="21"/>
              </w:rPr>
              <w:t xml:space="preserve">If you read only four files</w:t>
            </w:r>
          </w:p>
          <w:p>
            <w:pPr>
              <w:spacing w:after="60" w:line="276"/>
            </w:pPr>
            <w:r>
              <w:rPr>
                <w:rFonts w:ascii="Calibri" w:cs="Calibri" w:eastAsia="Calibri" w:hAnsi="Calibri"/>
                <w:color w:val="4D5A6B"/>
                <w:sz w:val="21"/>
                <w:szCs w:val="21"/>
              </w:rPr>
              <w:t xml:space="preserve">config.py (all policy), video_permissions.py (the footage decision), adapters/base.py (the federation contract), and docs/access-model.md (why any of it is shaped this way). Everything else follows from those.</w:t>
            </w:r>
          </w:p>
        </w:tc>
      </w:tr>
    </w:tbl>
    <w:p>
      <w:pPr>
        <w:spacing w:after="200"/>
      </w:pPr>
    </w:p>
    <w:p>
      <w:pPr>
        <w:spacing w:after="140" w:line="276"/>
      </w:pPr>
      <w:r>
        <w:rPr>
          <w:rFonts w:ascii="Calibri" w:cs="Calibri" w:eastAsia="Calibri" w:hAnsi="Calibri"/>
          <w:i/>
          <w:iCs/>
          <w:color w:val="75828F"/>
          <w:sz w:val="17"/>
          <w:szCs w:val="17"/>
        </w:rPr>
        <w:t xml:space="preserve">Inventory taken from the working tree on 21 August 2026. Line counts are exact; grouped rows sum their members.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5828F"/>
        <w:sz w:val="16"/>
        <w:szCs w:val="16"/>
      </w:rPr>
      <w:t xml:space="preserve">Sentinel Code Map  •  </w:t>
    </w:r>
    <w:r>
      <w:rPr>
        <w:rFonts w:ascii="Calibri" w:cs="Calibri" w:eastAsia="Calibri" w:hAnsi="Calibri"/>
        <w:color w:val="7582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Code Map</dc:title>
  <dc:creator>Sentinel project team</dc:creator>
  <dc:description>Sentinel Code Map</dc:description>
  <cp:lastModifiedBy>Un-named</cp:lastModifiedBy>
  <cp:revision>1</cp:revision>
  <dcterms:created xsi:type="dcterms:W3CDTF">2026-08-21T11:56:56.275Z</dcterms:created>
  <dcterms:modified xsi:type="dcterms:W3CDTF">2026-08-21T11:56:56.276Z</dcterms:modified>
</cp:coreProperties>
</file>

<file path=docProps/custom.xml><?xml version="1.0" encoding="utf-8"?>
<Properties xmlns="http://schemas.openxmlformats.org/officeDocument/2006/custom-properties" xmlns:vt="http://schemas.openxmlformats.org/officeDocument/2006/docPropsVTypes"/>
</file>