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before="800"/>
      </w:pPr>
      <w:r>
        <w:t xml:space="preserve">ACHERON</w:t>
      </w:r>
    </w:p>
    <w:p>
      <w:pPr>
        <w:spacing w:after="200"/>
      </w:pPr>
      <w:r>
        <w:rPr>
          <w:b/>
          <w:bCs/>
          <w:color w:val="1F4E5F"/>
          <w:sz w:val="30"/>
          <w:szCs w:val="30"/>
        </w:rPr>
        <w:t xml:space="preserve">Bioelectric Memory in Living Cells</w:t>
      </w:r>
    </w:p>
    <w:p>
      <w:pPr>
        <w:spacing w:after="480"/>
      </w:pPr>
      <w:r>
        <w:rPr>
          <w:i/>
          <w:iCs/>
          <w:color w:val="666666"/>
          <w:sz w:val="26"/>
          <w:szCs w:val="26"/>
        </w:rPr>
        <w:t xml:space="preserve">A Proposal for Experimental Validation</w:t>
      </w:r>
    </w:p>
    <w:p>
      <w:pPr>
        <w:spacing w:after="160"/>
        <w:jc w:val="both"/>
      </w:pPr>
      <w:r>
        <w:t xml:space="preserve">This document summarizes the computational and literature-based validation completed to date, specifies exactly what remains scientifically unresolved, and requests funding for the two lowest-cost, highest-information experiments that would resolve it.</w:t>
      </w:r>
    </w:p>
    <w:p>
      <w:pPr>
        <w:spacing w:after="400"/>
      </w:pPr>
    </w:p>
    <w:p>
      <w:pPr>
        <w:spacing w:after="160"/>
      </w:pPr>
      <w:r>
        <w:rPr>
          <w:b/>
          <w:bCs/>
        </w:rPr>
        <w:t xml:space="preserve">Prepared: </w:t>
      </w:r>
      <w:r>
        <w:t xml:space="preserve">August 2026</w:t>
      </w:r>
    </w:p>
    <w:p>
      <w:pPr>
        <w:spacing w:after="160"/>
      </w:pPr>
      <w:r>
        <w:rPr>
          <w:b/>
          <w:bCs/>
        </w:rPr>
        <w:t xml:space="preserve">Contact: </w:t>
      </w:r>
      <w:r>
        <w:t xml:space="preserve">sanchezleal1989@gmail.com</w:t>
      </w:r>
    </w:p>
    <w:p>
      <w:pPr>
        <w:spacing w:after="160"/>
      </w:pPr>
      <w:r>
        <w:rPr>
          <w:b/>
          <w:bCs/>
        </w:rPr>
        <w:t xml:space="preserve">Status: </w:t>
      </w:r>
      <w:r>
        <w:t xml:space="preserve">Patent-pending. This document describes published, peer-reviewed science and original computational analysis for scientific and funding review; proprietary implementation details are withheld pending NDA.</w:t>
      </w:r>
    </w:p>
    <w:p>
      <w:r>
        <w:br w:type="page"/>
      </w:r>
    </w:p>
    <w:p>
      <w:pPr>
        <w:pStyle w:val="Heading1"/>
        <w:spacing w:after="160" w:before="360"/>
      </w:pPr>
      <w:r>
        <w:t xml:space="preserve">Executive Summary</w:t>
      </w:r>
    </w:p>
    <w:p>
      <w:pPr>
        <w:spacing w:after="160"/>
        <w:jc w:val="both"/>
      </w:pPr>
      <w:r>
        <w:t xml:space="preserve">Acheron proposes a bioelectric memory substrate: living cells engineered to store binary data as stable membrane-voltage states, capable of self-healing through biological regeneration and operating in environments where conventional silicon memory fails — radiation exposure, extreme temperature, deep-sea pressure.</w:t>
      </w:r>
    </w:p>
    <w:p>
      <w:pPr>
        <w:spacing w:after="160"/>
        <w:jc w:val="both"/>
      </w:pPr>
      <w:r>
        <w:t xml:space="preserve">Rather than presenting this as a finished result, this document does the opposite: it shows our work. Over several months we stress-tested the project's core claims computationally — grounding every assumption in peer-reviewed literature where possible, and building quantitative simulations to find exactly where the concept breaks. It broke in a specific, informative place. We now have a precisely specified, falsifiable experimental question, two concrete circuit designs built from real, freely available synthetic-biology parts, and two low-cost experiments that would resolve the central uncertainty.</w:t>
      </w:r>
    </w:p>
    <w:p>
      <w:pPr>
        <w:spacing w:after="160"/>
      </w:pPr>
      <w:r>
        <w:t xml:space="preserve">The ask is not to fund a finished product. It is to fund the specific, cheap experiments that tell us — quickly and honestly — whether the core mechanism works in living cells at all.</w:t>
      </w:r>
    </w:p>
    <w:p>
      <w:pPr>
        <w:pStyle w:val="Heading1"/>
        <w:spacing w:after="160" w:before="360"/>
      </w:pPr>
      <w:r>
        <w:t xml:space="preserve">1. The Opportunity</w:t>
      </w:r>
    </w:p>
    <w:p>
      <w:pPr>
        <w:spacing w:after="160"/>
      </w:pPr>
      <w:r>
        <w:t xml:space="preserve">Existing biocomputing efforts (Cortical Labs, Koniku, FinalSpark) build on cultured neurons: volatile, short-lived (6–24 months), require continuous life support, and cannot self-repair. Acheron's premise is to use non-neural, regenerative somatic tissue instead — trading neural speed for persistence and self-repair, in applications where a chip that heals itself matters more than one that computes fast.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520"/>
      </w:tblGrid>
      <w:tr>
        <w:trPr>
          <w:tblHeader/>
        </w:trPr>
        <w:tc>
          <w:tcPr>
            <w:tcW w:type="dxa" w:w="2800"/>
            <w:shd w:fill="EAF1F3" w:val="clear"/>
            <w:tcMar>
              <w:top w:type="dxa" w:w="80"/>
              <w:left w:type="dxa" w:w="100"/>
              <w:bottom w:type="dxa" w:w="80"/>
              <w:right w:type="dxa" w:w="100"/>
            </w:tcMar>
          </w:tcPr>
          <w:p>
            <w:r>
              <w:rPr>
                <w:b/>
                <w:bCs/>
                <w:sz w:val="20"/>
                <w:szCs w:val="20"/>
              </w:rPr>
              <w:t xml:space="preserve">Feature</w:t>
            </w:r>
          </w:p>
        </w:tc>
        <w:tc>
          <w:tcPr>
            <w:tcW w:type="dxa" w:w="3400"/>
            <w:shd w:fill="EAF1F3" w:val="clear"/>
            <w:tcMar>
              <w:top w:type="dxa" w:w="80"/>
              <w:left w:type="dxa" w:w="100"/>
              <w:bottom w:type="dxa" w:w="80"/>
              <w:right w:type="dxa" w:w="100"/>
            </w:tcMar>
          </w:tcPr>
          <w:p>
            <w:r>
              <w:rPr>
                <w:b/>
                <w:bCs/>
                <w:sz w:val="20"/>
                <w:szCs w:val="20"/>
              </w:rPr>
              <w:t xml:space="preserve">Neuron-based (competitors)</w:t>
            </w:r>
          </w:p>
        </w:tc>
        <w:tc>
          <w:tcPr>
            <w:tcW w:type="dxa" w:w="3520"/>
            <w:shd w:fill="EAF1F3" w:val="clear"/>
            <w:tcMar>
              <w:top w:type="dxa" w:w="80"/>
              <w:left w:type="dxa" w:w="100"/>
              <w:bottom w:type="dxa" w:w="80"/>
              <w:right w:type="dxa" w:w="100"/>
            </w:tcMar>
          </w:tcPr>
          <w:p>
            <w:r>
              <w:rPr>
                <w:b/>
                <w:bCs/>
                <w:sz w:val="20"/>
                <w:szCs w:val="20"/>
              </w:rPr>
              <w:t xml:space="preserve">Acheron's target</w:t>
            </w:r>
          </w:p>
        </w:tc>
      </w:tr>
      <w:tr>
        <w:tc>
          <w:tcPr>
            <w:tcW w:type="dxa" w:w="2800"/>
            <w:tcMar>
              <w:top w:type="dxa" w:w="80"/>
              <w:left w:type="dxa" w:w="100"/>
              <w:bottom w:type="dxa" w:w="80"/>
              <w:right w:type="dxa" w:w="100"/>
            </w:tcMar>
          </w:tcPr>
          <w:p>
            <w:r>
              <w:rPr>
                <w:b w:val="false"/>
                <w:bCs w:val="false"/>
                <w:sz w:val="20"/>
                <w:szCs w:val="20"/>
              </w:rPr>
              <w:t xml:space="preserve">Memory type</w:t>
            </w:r>
          </w:p>
        </w:tc>
        <w:tc>
          <w:tcPr>
            <w:tcW w:type="dxa" w:w="3400"/>
            <w:tcMar>
              <w:top w:type="dxa" w:w="80"/>
              <w:left w:type="dxa" w:w="100"/>
              <w:bottom w:type="dxa" w:w="80"/>
              <w:right w:type="dxa" w:w="100"/>
            </w:tcMar>
          </w:tcPr>
          <w:p>
            <w:r>
              <w:rPr>
                <w:b w:val="false"/>
                <w:bCs w:val="false"/>
                <w:sz w:val="20"/>
                <w:szCs w:val="20"/>
              </w:rPr>
              <w:t xml:space="preserve">Volatile – needs continuous power</w:t>
            </w:r>
          </w:p>
        </w:tc>
        <w:tc>
          <w:tcPr>
            <w:tcW w:type="dxa" w:w="3520"/>
            <w:tcMar>
              <w:top w:type="dxa" w:w="80"/>
              <w:left w:type="dxa" w:w="100"/>
              <w:bottom w:type="dxa" w:w="80"/>
              <w:right w:type="dxa" w:w="100"/>
            </w:tcMar>
          </w:tcPr>
          <w:p>
            <w:r>
              <w:rPr>
                <w:b w:val="false"/>
                <w:bCs w:val="false"/>
                <w:sz w:val="20"/>
                <w:szCs w:val="20"/>
              </w:rPr>
              <w:t xml:space="preserve">Persistent – stable voltage attractor</w:t>
            </w:r>
          </w:p>
        </w:tc>
      </w:tr>
      <w:tr>
        <w:tc>
          <w:tcPr>
            <w:tcW w:type="dxa" w:w="2800"/>
            <w:tcMar>
              <w:top w:type="dxa" w:w="80"/>
              <w:left w:type="dxa" w:w="100"/>
              <w:bottom w:type="dxa" w:w="80"/>
              <w:right w:type="dxa" w:w="100"/>
            </w:tcMar>
          </w:tcPr>
          <w:p>
            <w:r>
              <w:rPr>
                <w:b w:val="false"/>
                <w:bCs w:val="false"/>
                <w:sz w:val="20"/>
                <w:szCs w:val="20"/>
              </w:rPr>
              <w:t xml:space="preserve">Lifespan</w:t>
            </w:r>
          </w:p>
        </w:tc>
        <w:tc>
          <w:tcPr>
            <w:tcW w:type="dxa" w:w="3400"/>
            <w:tcMar>
              <w:top w:type="dxa" w:w="80"/>
              <w:left w:type="dxa" w:w="100"/>
              <w:bottom w:type="dxa" w:w="80"/>
              <w:right w:type="dxa" w:w="100"/>
            </w:tcMar>
          </w:tcPr>
          <w:p>
            <w:r>
              <w:rPr>
                <w:b w:val="false"/>
                <w:bCs w:val="false"/>
                <w:sz w:val="20"/>
                <w:szCs w:val="20"/>
              </w:rPr>
              <w:t xml:space="preserve">6–24 months</w:t>
            </w:r>
          </w:p>
        </w:tc>
        <w:tc>
          <w:tcPr>
            <w:tcW w:type="dxa" w:w="3520"/>
            <w:tcMar>
              <w:top w:type="dxa" w:w="80"/>
              <w:left w:type="dxa" w:w="100"/>
              <w:bottom w:type="dxa" w:w="80"/>
              <w:right w:type="dxa" w:w="100"/>
            </w:tcMar>
          </w:tcPr>
          <w:p>
            <w:r>
              <w:rPr>
                <w:b w:val="false"/>
                <w:bCs w:val="false"/>
                <w:sz w:val="20"/>
                <w:szCs w:val="20"/>
              </w:rPr>
              <w:t xml:space="preserve">Indefinite, if self-healing works</w:t>
            </w:r>
          </w:p>
        </w:tc>
      </w:tr>
      <w:tr>
        <w:tc>
          <w:tcPr>
            <w:tcW w:type="dxa" w:w="2800"/>
            <w:tcMar>
              <w:top w:type="dxa" w:w="80"/>
              <w:left w:type="dxa" w:w="100"/>
              <w:bottom w:type="dxa" w:w="80"/>
              <w:right w:type="dxa" w:w="100"/>
            </w:tcMar>
          </w:tcPr>
          <w:p>
            <w:r>
              <w:rPr>
                <w:b w:val="false"/>
                <w:bCs w:val="false"/>
                <w:sz w:val="20"/>
                <w:szCs w:val="20"/>
              </w:rPr>
              <w:t xml:space="preserve">Self-healing</w:t>
            </w:r>
          </w:p>
        </w:tc>
        <w:tc>
          <w:tcPr>
            <w:tcW w:type="dxa" w:w="3400"/>
            <w:tcMar>
              <w:top w:type="dxa" w:w="80"/>
              <w:left w:type="dxa" w:w="100"/>
              <w:bottom w:type="dxa" w:w="80"/>
              <w:right w:type="dxa" w:w="100"/>
            </w:tcMar>
          </w:tcPr>
          <w:p>
            <w:r>
              <w:rPr>
                <w:b w:val="false"/>
                <w:bCs w:val="false"/>
                <w:sz w:val="20"/>
                <w:szCs w:val="20"/>
              </w:rPr>
              <w:t xml:space="preserve">None</w:t>
            </w:r>
          </w:p>
        </w:tc>
        <w:tc>
          <w:tcPr>
            <w:tcW w:type="dxa" w:w="3520"/>
            <w:tcMar>
              <w:top w:type="dxa" w:w="80"/>
              <w:left w:type="dxa" w:w="100"/>
              <w:bottom w:type="dxa" w:w="80"/>
              <w:right w:type="dxa" w:w="100"/>
            </w:tcMar>
          </w:tcPr>
          <w:p>
            <w:r>
              <w:rPr>
                <w:b w:val="false"/>
                <w:bCs w:val="false"/>
                <w:sz w:val="20"/>
                <w:szCs w:val="20"/>
              </w:rPr>
              <w:t xml:space="preserve">Biological regeneration</w:t>
            </w:r>
          </w:p>
        </w:tc>
      </w:tr>
      <w:tr>
        <w:tc>
          <w:tcPr>
            <w:tcW w:type="dxa" w:w="2800"/>
            <w:tcMar>
              <w:top w:type="dxa" w:w="80"/>
              <w:left w:type="dxa" w:w="100"/>
              <w:bottom w:type="dxa" w:w="80"/>
              <w:right w:type="dxa" w:w="100"/>
            </w:tcMar>
          </w:tcPr>
          <w:p>
            <w:r>
              <w:rPr>
                <w:b w:val="false"/>
                <w:bCs w:val="false"/>
                <w:sz w:val="20"/>
                <w:szCs w:val="20"/>
              </w:rPr>
              <w:t xml:space="preserve">Extreme environments</w:t>
            </w:r>
          </w:p>
        </w:tc>
        <w:tc>
          <w:tcPr>
            <w:tcW w:type="dxa" w:w="3400"/>
            <w:tcMar>
              <w:top w:type="dxa" w:w="80"/>
              <w:left w:type="dxa" w:w="100"/>
              <w:bottom w:type="dxa" w:w="80"/>
              <w:right w:type="dxa" w:w="100"/>
            </w:tcMar>
          </w:tcPr>
          <w:p>
            <w:r>
              <w:rPr>
                <w:b w:val="false"/>
                <w:bCs w:val="false"/>
                <w:sz w:val="20"/>
                <w:szCs w:val="20"/>
              </w:rPr>
              <w:t xml:space="preserve">Lab conditions only</w:t>
            </w:r>
          </w:p>
        </w:tc>
        <w:tc>
          <w:tcPr>
            <w:tcW w:type="dxa" w:w="3520"/>
            <w:tcMar>
              <w:top w:type="dxa" w:w="80"/>
              <w:left w:type="dxa" w:w="100"/>
              <w:bottom w:type="dxa" w:w="80"/>
              <w:right w:type="dxa" w:w="100"/>
            </w:tcMar>
          </w:tcPr>
          <w:p>
            <w:r>
              <w:rPr>
                <w:b w:val="false"/>
                <w:bCs w:val="false"/>
                <w:sz w:val="20"/>
                <w:szCs w:val="20"/>
              </w:rPr>
              <w:t xml:space="preserve">Target: radiation, deep-sea, field use</w:t>
            </w:r>
          </w:p>
        </w:tc>
      </w:tr>
    </w:tbl>
    <w:p>
      <w:pPr>
        <w:spacing w:after="200"/>
      </w:pPr>
    </w:p>
    <w:p>
      <w:pPr>
        <w:spacing w:after="160"/>
      </w:pPr>
      <w:r>
        <w:t xml:space="preserve">No company currently sells a validated write/read interface for encoding arbitrary binary data into bioelectric state — in any organism. That gap is real. Whether it can be filled is the scientific question this proposal addresses.</w:t>
      </w:r>
    </w:p>
    <w:p>
      <w:pPr>
        <w:pStyle w:val="Heading1"/>
        <w:spacing w:after="160" w:before="360"/>
      </w:pPr>
      <w:r>
        <w:t xml:space="preserve">2. What We Have Already Established</w:t>
      </w:r>
    </w:p>
    <w:p>
      <w:pPr>
        <w:pStyle w:val="Heading2"/>
        <w:spacing w:after="120" w:before="260"/>
      </w:pPr>
      <w:r>
        <w:t xml:space="preserve">2.1 — The underlying physics is real, published science</w:t>
      </w:r>
    </w:p>
    <w:p>
      <w:pPr>
        <w:spacing w:after="160"/>
      </w:pPr>
      <w:r>
        <w:t xml:space="preserve">Before any simulation was built, the core premise — that non-neural, gap-junction-coupled cell networks can perform computation and hold stable state — was checked against the peer-reviewed literature. It holds up: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920"/>
      </w:tblGrid>
      <w:tr>
        <w:trPr>
          <w:tblHeader/>
        </w:trPr>
        <w:tc>
          <w:tcPr>
            <w:tcW w:type="dxa" w:w="3400"/>
            <w:shd w:fill="EAF1F3" w:val="clear"/>
            <w:tcMar>
              <w:top w:type="dxa" w:w="80"/>
              <w:left w:type="dxa" w:w="100"/>
              <w:bottom w:type="dxa" w:w="80"/>
              <w:right w:type="dxa" w:w="100"/>
            </w:tcMar>
          </w:tcPr>
          <w:p>
            <w:r>
              <w:rPr>
                <w:b/>
                <w:bCs/>
                <w:sz w:val="20"/>
                <w:szCs w:val="20"/>
              </w:rPr>
              <w:t xml:space="preserve">Claim</w:t>
            </w:r>
          </w:p>
        </w:tc>
        <w:tc>
          <w:tcPr>
            <w:tcW w:type="dxa" w:w="3400"/>
            <w:shd w:fill="EAF1F3" w:val="clear"/>
            <w:tcMar>
              <w:top w:type="dxa" w:w="80"/>
              <w:left w:type="dxa" w:w="100"/>
              <w:bottom w:type="dxa" w:w="80"/>
              <w:right w:type="dxa" w:w="100"/>
            </w:tcMar>
          </w:tcPr>
          <w:p>
            <w:r>
              <w:rPr>
                <w:b/>
                <w:bCs/>
                <w:sz w:val="20"/>
                <w:szCs w:val="20"/>
              </w:rPr>
              <w:t xml:space="preserve">Source</w:t>
            </w:r>
          </w:p>
        </w:tc>
        <w:tc>
          <w:tcPr>
            <w:tcW w:type="dxa" w:w="2920"/>
            <w:shd w:fill="EAF1F3" w:val="clear"/>
            <w:tcMar>
              <w:top w:type="dxa" w:w="80"/>
              <w:left w:type="dxa" w:w="100"/>
              <w:bottom w:type="dxa" w:w="80"/>
              <w:right w:type="dxa" w:w="100"/>
            </w:tcMar>
          </w:tcPr>
          <w:p>
            <w:r>
              <w:rPr>
                <w:b/>
                <w:bCs/>
                <w:sz w:val="20"/>
                <w:szCs w:val="20"/>
              </w:rPr>
              <w:t xml:space="preserve">DOI</w:t>
            </w:r>
          </w:p>
        </w:tc>
      </w:tr>
      <w:tr>
        <w:tc>
          <w:tcPr>
            <w:tcW w:type="dxa" w:w="3400"/>
            <w:tcMar>
              <w:top w:type="dxa" w:w="80"/>
              <w:left w:type="dxa" w:w="100"/>
              <w:bottom w:type="dxa" w:w="80"/>
              <w:right w:type="dxa" w:w="100"/>
            </w:tcMar>
          </w:tcPr>
          <w:p>
            <w:r>
              <w:rPr>
                <w:b w:val="false"/>
                <w:bCs w:val="false"/>
                <w:sz w:val="20"/>
                <w:szCs w:val="20"/>
              </w:rPr>
              <w:t xml:space="preserve">Non-neural bioelectric networks can perform logic/pattern computation</w:t>
            </w:r>
          </w:p>
        </w:tc>
        <w:tc>
          <w:tcPr>
            <w:tcW w:type="dxa" w:w="3400"/>
            <w:tcMar>
              <w:top w:type="dxa" w:w="80"/>
              <w:left w:type="dxa" w:w="100"/>
              <w:bottom w:type="dxa" w:w="80"/>
              <w:right w:type="dxa" w:w="100"/>
            </w:tcMar>
          </w:tcPr>
          <w:p>
            <w:r>
              <w:rPr>
                <w:b w:val="false"/>
                <w:bCs w:val="false"/>
                <w:sz w:val="20"/>
                <w:szCs w:val="20"/>
              </w:rPr>
              <w:t xml:space="preserve">Manicka &amp; Levin, Sci Rep 2019</w:t>
            </w:r>
          </w:p>
        </w:tc>
        <w:tc>
          <w:tcPr>
            <w:tcW w:type="dxa" w:w="2920"/>
            <w:tcMar>
              <w:top w:type="dxa" w:w="80"/>
              <w:left w:type="dxa" w:w="100"/>
              <w:bottom w:type="dxa" w:w="80"/>
              <w:right w:type="dxa" w:w="100"/>
            </w:tcMar>
          </w:tcPr>
          <w:p>
            <w:r>
              <w:rPr>
                <w:b w:val="false"/>
                <w:bCs w:val="false"/>
                <w:sz w:val="20"/>
                <w:szCs w:val="20"/>
              </w:rPr>
              <w:t xml:space="preserve">10.1038/s41598-019-54859-8</w:t>
            </w:r>
          </w:p>
        </w:tc>
      </w:tr>
      <w:tr>
        <w:tc>
          <w:tcPr>
            <w:tcW w:type="dxa" w:w="3400"/>
            <w:tcMar>
              <w:top w:type="dxa" w:w="80"/>
              <w:left w:type="dxa" w:w="100"/>
              <w:bottom w:type="dxa" w:w="80"/>
              <w:right w:type="dxa" w:w="100"/>
            </w:tcMar>
          </w:tcPr>
          <w:p>
            <w:r>
              <w:rPr>
                <w:b w:val="false"/>
                <w:bCs w:val="false"/>
                <w:sz w:val="20"/>
                <w:szCs w:val="20"/>
              </w:rPr>
              <w:t xml:space="preserve">Gap junctions act as computational elements controlling large-scale anatomical pattern</w:t>
            </w:r>
          </w:p>
        </w:tc>
        <w:tc>
          <w:tcPr>
            <w:tcW w:type="dxa" w:w="3400"/>
            <w:tcMar>
              <w:top w:type="dxa" w:w="80"/>
              <w:left w:type="dxa" w:w="100"/>
              <w:bottom w:type="dxa" w:w="80"/>
              <w:right w:type="dxa" w:w="100"/>
            </w:tcMar>
          </w:tcPr>
          <w:p>
            <w:r>
              <w:rPr>
                <w:b w:val="false"/>
                <w:bCs w:val="false"/>
                <w:sz w:val="20"/>
                <w:szCs w:val="20"/>
              </w:rPr>
              <w:t xml:space="preserve">Mathews &amp; Levin, Dev Neurobiol 2016</w:t>
            </w:r>
          </w:p>
        </w:tc>
        <w:tc>
          <w:tcPr>
            <w:tcW w:type="dxa" w:w="2920"/>
            <w:tcMar>
              <w:top w:type="dxa" w:w="80"/>
              <w:left w:type="dxa" w:w="100"/>
              <w:bottom w:type="dxa" w:w="80"/>
              <w:right w:type="dxa" w:w="100"/>
            </w:tcMar>
          </w:tcPr>
          <w:p>
            <w:r>
              <w:rPr>
                <w:b w:val="false"/>
                <w:bCs w:val="false"/>
                <w:sz w:val="20"/>
                <w:szCs w:val="20"/>
              </w:rPr>
              <w:t xml:space="preserve">10.1002/dneu.22405</w:t>
            </w:r>
          </w:p>
        </w:tc>
      </w:tr>
      <w:tr>
        <w:tc>
          <w:tcPr>
            <w:tcW w:type="dxa" w:w="3400"/>
            <w:tcMar>
              <w:top w:type="dxa" w:w="80"/>
              <w:left w:type="dxa" w:w="100"/>
              <w:bottom w:type="dxa" w:w="80"/>
              <w:right w:type="dxa" w:w="100"/>
            </w:tcMar>
          </w:tcPr>
          <w:p>
            <w:r>
              <w:rPr>
                <w:b w:val="false"/>
                <w:bCs w:val="false"/>
                <w:sz w:val="20"/>
                <w:szCs w:val="20"/>
              </w:rPr>
              <w:t xml:space="preserve">Bioelectric circuit interventions create persistent, stable anatomical states across regeneration</w:t>
            </w:r>
          </w:p>
        </w:tc>
        <w:tc>
          <w:tcPr>
            <w:tcW w:type="dxa" w:w="3400"/>
            <w:tcMar>
              <w:top w:type="dxa" w:w="80"/>
              <w:left w:type="dxa" w:w="100"/>
              <w:bottom w:type="dxa" w:w="80"/>
              <w:right w:type="dxa" w:w="100"/>
            </w:tcMar>
          </w:tcPr>
          <w:p>
            <w:r>
              <w:rPr>
                <w:b w:val="false"/>
                <w:bCs w:val="false"/>
                <w:sz w:val="20"/>
                <w:szCs w:val="20"/>
              </w:rPr>
              <w:t xml:space="preserve">Grodstein &amp; Levin, Bioelectricity 2022</w:t>
            </w:r>
          </w:p>
        </w:tc>
        <w:tc>
          <w:tcPr>
            <w:tcW w:type="dxa" w:w="2920"/>
            <w:tcMar>
              <w:top w:type="dxa" w:w="80"/>
              <w:left w:type="dxa" w:w="100"/>
              <w:bottom w:type="dxa" w:w="80"/>
              <w:right w:type="dxa" w:w="100"/>
            </w:tcMar>
          </w:tcPr>
          <w:p>
            <w:r>
              <w:rPr>
                <w:b w:val="false"/>
                <w:bCs w:val="false"/>
                <w:sz w:val="20"/>
                <w:szCs w:val="20"/>
              </w:rPr>
              <w:t xml:space="preserve">10.1089/bioe.2021.0036</w:t>
            </w:r>
          </w:p>
        </w:tc>
      </w:tr>
      <w:tr>
        <w:tc>
          <w:tcPr>
            <w:tcW w:type="dxa" w:w="3400"/>
            <w:tcMar>
              <w:top w:type="dxa" w:w="80"/>
              <w:left w:type="dxa" w:w="100"/>
              <w:bottom w:type="dxa" w:w="80"/>
              <w:right w:type="dxa" w:w="100"/>
            </w:tcMar>
          </w:tcPr>
          <w:p>
            <w:r>
              <w:rPr>
                <w:b w:val="false"/>
                <w:bCs w:val="false"/>
                <w:sz w:val="20"/>
                <w:szCs w:val="20"/>
              </w:rPr>
              <w:t xml:space="preserve">Optogenetic (light-based) writing of bioelectric state is achievable in vivo</w:t>
            </w:r>
          </w:p>
        </w:tc>
        <w:tc>
          <w:tcPr>
            <w:tcW w:type="dxa" w:w="3400"/>
            <w:tcMar>
              <w:top w:type="dxa" w:w="80"/>
              <w:left w:type="dxa" w:w="100"/>
              <w:bottom w:type="dxa" w:w="80"/>
              <w:right w:type="dxa" w:w="100"/>
            </w:tcMar>
          </w:tcPr>
          <w:p>
            <w:r>
              <w:rPr>
                <w:b w:val="false"/>
                <w:bCs w:val="false"/>
                <w:sz w:val="20"/>
                <w:szCs w:val="20"/>
              </w:rPr>
              <w:t xml:space="preserve">Adams, Tseng &amp; Levin, Biology Open 2013</w:t>
            </w:r>
          </w:p>
        </w:tc>
        <w:tc>
          <w:tcPr>
            <w:tcW w:type="dxa" w:w="2920"/>
            <w:tcMar>
              <w:top w:type="dxa" w:w="80"/>
              <w:left w:type="dxa" w:w="100"/>
              <w:bottom w:type="dxa" w:w="80"/>
              <w:right w:type="dxa" w:w="100"/>
            </w:tcMar>
          </w:tcPr>
          <w:p>
            <w:r>
              <w:rPr>
                <w:b w:val="false"/>
                <w:bCs w:val="false"/>
                <w:sz w:val="20"/>
                <w:szCs w:val="20"/>
              </w:rPr>
              <w:t xml:space="preserve">10.1242/bio.20133665</w:t>
            </w:r>
          </w:p>
        </w:tc>
      </w:tr>
      <w:tr>
        <w:tc>
          <w:tcPr>
            <w:tcW w:type="dxa" w:w="3400"/>
            <w:tcMar>
              <w:top w:type="dxa" w:w="80"/>
              <w:left w:type="dxa" w:w="100"/>
              <w:bottom w:type="dxa" w:w="80"/>
              <w:right w:type="dxa" w:w="100"/>
            </w:tcMar>
          </w:tcPr>
          <w:p>
            <w:r>
              <w:rPr>
                <w:b w:val="false"/>
                <w:bCs w:val="false"/>
                <w:sz w:val="20"/>
                <w:szCs w:val="20"/>
              </w:rPr>
              <w:t xml:space="preserve">Somatic tissue networks can form stable attractor states resembling memory</w:t>
            </w:r>
          </w:p>
        </w:tc>
        <w:tc>
          <w:tcPr>
            <w:tcW w:type="dxa" w:w="3400"/>
            <w:tcMar>
              <w:top w:type="dxa" w:w="80"/>
              <w:left w:type="dxa" w:w="100"/>
              <w:bottom w:type="dxa" w:w="80"/>
              <w:right w:type="dxa" w:w="100"/>
            </w:tcMar>
          </w:tcPr>
          <w:p>
            <w:r>
              <w:rPr>
                <w:b w:val="false"/>
                <w:bCs w:val="false"/>
                <w:sz w:val="20"/>
                <w:szCs w:val="20"/>
              </w:rPr>
              <w:t xml:space="preserve">Samarasinghe, Biosystems 2022</w:t>
            </w:r>
          </w:p>
        </w:tc>
        <w:tc>
          <w:tcPr>
            <w:tcW w:type="dxa" w:w="2920"/>
            <w:tcMar>
              <w:top w:type="dxa" w:w="80"/>
              <w:left w:type="dxa" w:w="100"/>
              <w:bottom w:type="dxa" w:w="80"/>
              <w:right w:type="dxa" w:w="100"/>
            </w:tcMar>
          </w:tcPr>
          <w:p>
            <w:r>
              <w:rPr>
                <w:b w:val="false"/>
                <w:bCs w:val="false"/>
                <w:sz w:val="20"/>
                <w:szCs w:val="20"/>
              </w:rPr>
              <w:t xml:space="preserve">10.1016/j.biosystems.2022.104816</w:t>
            </w:r>
          </w:p>
        </w:tc>
      </w:tr>
      <w:tr>
        <w:tc>
          <w:tcPr>
            <w:tcW w:type="dxa" w:w="3400"/>
            <w:tcMar>
              <w:top w:type="dxa" w:w="80"/>
              <w:left w:type="dxa" w:w="100"/>
              <w:bottom w:type="dxa" w:w="80"/>
              <w:right w:type="dxa" w:w="100"/>
            </w:tcMar>
          </w:tcPr>
          <w:p>
            <w:r>
              <w:rPr>
                <w:b w:val="false"/>
                <w:bCs w:val="false"/>
                <w:sz w:val="20"/>
                <w:szCs w:val="20"/>
              </w:rPr>
              <w:t xml:space="preserve">Engineered synthetic bistability (a genetic toggle switch) is achievable in a living cell</w:t>
            </w:r>
          </w:p>
        </w:tc>
        <w:tc>
          <w:tcPr>
            <w:tcW w:type="dxa" w:w="3400"/>
            <w:tcMar>
              <w:top w:type="dxa" w:w="80"/>
              <w:left w:type="dxa" w:w="100"/>
              <w:bottom w:type="dxa" w:w="80"/>
              <w:right w:type="dxa" w:w="100"/>
            </w:tcMar>
          </w:tcPr>
          <w:p>
            <w:r>
              <w:rPr>
                <w:b w:val="false"/>
                <w:bCs w:val="false"/>
                <w:sz w:val="20"/>
                <w:szCs w:val="20"/>
              </w:rPr>
              <w:t xml:space="preserve">Gardner, Cantor &amp; Collins, Nature 2000</w:t>
            </w:r>
          </w:p>
        </w:tc>
        <w:tc>
          <w:tcPr>
            <w:tcW w:type="dxa" w:w="2920"/>
            <w:tcMar>
              <w:top w:type="dxa" w:w="80"/>
              <w:left w:type="dxa" w:w="100"/>
              <w:bottom w:type="dxa" w:w="80"/>
              <w:right w:type="dxa" w:w="100"/>
            </w:tcMar>
          </w:tcPr>
          <w:p>
            <w:r>
              <w:rPr>
                <w:b w:val="false"/>
                <w:bCs w:val="false"/>
                <w:sz w:val="20"/>
                <w:szCs w:val="20"/>
              </w:rPr>
              <w:t xml:space="preserve">10.1038/35002131</w:t>
            </w:r>
          </w:p>
        </w:tc>
      </w:tr>
      <w:tr>
        <w:tc>
          <w:tcPr>
            <w:tcW w:type="dxa" w:w="3400"/>
            <w:tcMar>
              <w:top w:type="dxa" w:w="80"/>
              <w:left w:type="dxa" w:w="100"/>
              <w:bottom w:type="dxa" w:w="80"/>
              <w:right w:type="dxa" w:w="100"/>
            </w:tcMar>
          </w:tcPr>
          <w:p>
            <w:r>
              <w:rPr>
                <w:b w:val="false"/>
                <w:bCs w:val="false"/>
                <w:sz w:val="20"/>
                <w:szCs w:val="20"/>
              </w:rPr>
              <w:t xml:space="preserve">Bacterial biofilms propagate long-range electrical signals via ion-channel feedback</w:t>
            </w:r>
          </w:p>
        </w:tc>
        <w:tc>
          <w:tcPr>
            <w:tcW w:type="dxa" w:w="3400"/>
            <w:tcMar>
              <w:top w:type="dxa" w:w="80"/>
              <w:left w:type="dxa" w:w="100"/>
              <w:bottom w:type="dxa" w:w="80"/>
              <w:right w:type="dxa" w:w="100"/>
            </w:tcMar>
          </w:tcPr>
          <w:p>
            <w:r>
              <w:rPr>
                <w:b w:val="false"/>
                <w:bCs w:val="false"/>
                <w:sz w:val="20"/>
                <w:szCs w:val="20"/>
              </w:rPr>
              <w:t xml:space="preserve">Prindle et al., Nature 2015</w:t>
            </w:r>
          </w:p>
        </w:tc>
        <w:tc>
          <w:tcPr>
            <w:tcW w:type="dxa" w:w="2920"/>
            <w:tcMar>
              <w:top w:type="dxa" w:w="80"/>
              <w:left w:type="dxa" w:w="100"/>
              <w:bottom w:type="dxa" w:w="80"/>
              <w:right w:type="dxa" w:w="100"/>
            </w:tcMar>
          </w:tcPr>
          <w:p>
            <w:r>
              <w:rPr>
                <w:b w:val="false"/>
                <w:bCs w:val="false"/>
                <w:sz w:val="20"/>
                <w:szCs w:val="20"/>
              </w:rPr>
              <w:t xml:space="preserve">10.1038/nature15709</w:t>
            </w:r>
          </w:p>
        </w:tc>
      </w:tr>
      <w:tr>
        <w:tc>
          <w:tcPr>
            <w:tcW w:type="dxa" w:w="3400"/>
            <w:tcMar>
              <w:top w:type="dxa" w:w="80"/>
              <w:left w:type="dxa" w:w="100"/>
              <w:bottom w:type="dxa" w:w="80"/>
              <w:right w:type="dxa" w:w="100"/>
            </w:tcMar>
          </w:tcPr>
          <w:p>
            <w:r>
              <w:rPr>
                <w:b w:val="false"/>
                <w:bCs w:val="false"/>
                <w:sz w:val="20"/>
                <w:szCs w:val="20"/>
              </w:rPr>
              <w:t xml:space="preserve">That signal can even be received by distant, genetically distinct cells</w:t>
            </w:r>
          </w:p>
        </w:tc>
        <w:tc>
          <w:tcPr>
            <w:tcW w:type="dxa" w:w="3400"/>
            <w:tcMar>
              <w:top w:type="dxa" w:w="80"/>
              <w:left w:type="dxa" w:w="100"/>
              <w:bottom w:type="dxa" w:w="80"/>
              <w:right w:type="dxa" w:w="100"/>
            </w:tcMar>
          </w:tcPr>
          <w:p>
            <w:r>
              <w:rPr>
                <w:b w:val="false"/>
                <w:bCs w:val="false"/>
                <w:sz w:val="20"/>
                <w:szCs w:val="20"/>
              </w:rPr>
              <w:t xml:space="preserve">Humphries et al., Cell 2017</w:t>
            </w:r>
          </w:p>
        </w:tc>
        <w:tc>
          <w:tcPr>
            <w:tcW w:type="dxa" w:w="2920"/>
            <w:tcMar>
              <w:top w:type="dxa" w:w="80"/>
              <w:left w:type="dxa" w:w="100"/>
              <w:bottom w:type="dxa" w:w="80"/>
              <w:right w:type="dxa" w:w="100"/>
            </w:tcMar>
          </w:tcPr>
          <w:p>
            <w:r>
              <w:rPr>
                <w:b w:val="false"/>
                <w:bCs w:val="false"/>
                <w:sz w:val="20"/>
                <w:szCs w:val="20"/>
              </w:rPr>
              <w:t xml:space="preserve">10.1016/j.cell.2016.12.014</w:t>
            </w:r>
          </w:p>
        </w:tc>
      </w:tr>
      <w:tr>
        <w:tc>
          <w:tcPr>
            <w:tcW w:type="dxa" w:w="3400"/>
            <w:tcMar>
              <w:top w:type="dxa" w:w="80"/>
              <w:left w:type="dxa" w:w="100"/>
              <w:bottom w:type="dxa" w:w="80"/>
              <w:right w:type="dxa" w:w="100"/>
            </w:tcMar>
          </w:tcPr>
          <w:p>
            <w:r>
              <w:rPr>
                <w:b w:val="false"/>
                <w:bCs w:val="false"/>
                <w:sz w:val="20"/>
                <w:szCs w:val="20"/>
              </w:rPr>
              <w:t xml:space="preserve">B. subtilis-characterized, chromosomally-integrating promoter parts exist and are free to use</w:t>
            </w:r>
          </w:p>
        </w:tc>
        <w:tc>
          <w:tcPr>
            <w:tcW w:type="dxa" w:w="3400"/>
            <w:tcMar>
              <w:top w:type="dxa" w:w="80"/>
              <w:left w:type="dxa" w:w="100"/>
              <w:bottom w:type="dxa" w:w="80"/>
              <w:right w:type="dxa" w:w="100"/>
            </w:tcMar>
          </w:tcPr>
          <w:p>
            <w:r>
              <w:rPr>
                <w:b w:val="false"/>
                <w:bCs w:val="false"/>
                <w:sz w:val="20"/>
                <w:szCs w:val="20"/>
              </w:rPr>
              <w:t xml:space="preserve">Radeck et al., J Biol Eng 2013 / Sci Rep 2017</w:t>
            </w:r>
          </w:p>
        </w:tc>
        <w:tc>
          <w:tcPr>
            <w:tcW w:type="dxa" w:w="2920"/>
            <w:tcMar>
              <w:top w:type="dxa" w:w="80"/>
              <w:left w:type="dxa" w:w="100"/>
              <w:bottom w:type="dxa" w:w="80"/>
              <w:right w:type="dxa" w:w="100"/>
            </w:tcMar>
          </w:tcPr>
          <w:p>
            <w:r>
              <w:rPr>
                <w:b w:val="false"/>
                <w:bCs w:val="false"/>
                <w:sz w:val="20"/>
                <w:szCs w:val="20"/>
              </w:rPr>
              <w:t xml:space="preserve">10.1186/1754-1611-7-29 / 10.1038/s41598-017-15107-z</w:t>
            </w:r>
          </w:p>
        </w:tc>
      </w:tr>
    </w:tbl>
    <w:p>
      <w:pPr>
        <w:spacing w:after="200"/>
      </w:pPr>
    </w:p>
    <w:p>
      <w:pPr>
        <w:spacing w:after="160"/>
      </w:pPr>
      <w:r>
        <w:t xml:space="preserve">No search turned up a published system that combines these into an engineered digital memory — confirming the market gap is real, not merely unclaimed.</w:t>
      </w:r>
    </w:p>
    <w:p>
      <w:pPr>
        <w:pStyle w:val="Heading2"/>
        <w:spacing w:after="120" w:before="260"/>
      </w:pPr>
      <w:r>
        <w:t xml:space="preserve">2.2 — Quantitative simulation: where the naive version breaks</w:t>
      </w:r>
    </w:p>
    <w:p>
      <w:pPr>
        <w:spacing w:after="160"/>
      </w:pPr>
      <w:r>
        <w:t xml:space="preserve">A baseline simulation (gap-junction-coupled voltage model, no noise) showed 100% pattern integrity after 24 hours — an encouraging number, but one that assumes an idealized, noise-free cell. Re-running it with four literature-typical biological noise sources (ion-channel shot noise, cell-to-cell variability, metabolic fluctuation, thermal noise) changed the picture entirely: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1720"/>
      </w:tblGrid>
      <w:tr>
        <w:trPr>
          <w:tblHeader/>
        </w:trPr>
        <w:tc>
          <w:tcPr>
            <w:tcW w:type="dxa" w:w="3600"/>
            <w:shd w:fill="EAF1F3" w:val="clear"/>
            <w:tcMar>
              <w:top w:type="dxa" w:w="80"/>
              <w:left w:type="dxa" w:w="100"/>
              <w:bottom w:type="dxa" w:w="80"/>
              <w:right w:type="dxa" w:w="100"/>
            </w:tcMar>
          </w:tcPr>
          <w:p>
            <w:r>
              <w:rPr>
                <w:b/>
                <w:bCs/>
                <w:sz w:val="20"/>
                <w:szCs w:val="20"/>
              </w:rPr>
              <w:t xml:space="preserve">Condition</w:t>
            </w:r>
          </w:p>
        </w:tc>
        <w:tc>
          <w:tcPr>
            <w:tcW w:type="dxa" w:w="2200"/>
            <w:shd w:fill="EAF1F3" w:val="clear"/>
            <w:tcMar>
              <w:top w:type="dxa" w:w="80"/>
              <w:left w:type="dxa" w:w="100"/>
              <w:bottom w:type="dxa" w:w="80"/>
              <w:right w:type="dxa" w:w="100"/>
            </w:tcMar>
          </w:tcPr>
          <w:p>
            <w:r>
              <w:rPr>
                <w:b/>
                <w:bCs/>
                <w:sz w:val="20"/>
                <w:szCs w:val="20"/>
              </w:rPr>
              <w:t xml:space="preserve">24h bit integrity</w:t>
            </w:r>
          </w:p>
        </w:tc>
        <w:tc>
          <w:tcPr>
            <w:tcW w:type="dxa" w:w="2200"/>
            <w:shd w:fill="EAF1F3" w:val="clear"/>
            <w:tcMar>
              <w:top w:type="dxa" w:w="80"/>
              <w:left w:type="dxa" w:w="100"/>
              <w:bottom w:type="dxa" w:w="80"/>
              <w:right w:type="dxa" w:w="100"/>
            </w:tcMar>
          </w:tcPr>
          <w:p>
            <w:r>
              <w:rPr>
                <w:b/>
                <w:bCs/>
                <w:sz w:val="20"/>
                <w:szCs w:val="20"/>
              </w:rPr>
              <w:t xml:space="preserve">Signal/noise ratio</w:t>
            </w:r>
          </w:p>
        </w:tc>
        <w:tc>
          <w:tcPr>
            <w:tcW w:type="dxa" w:w="1720"/>
            <w:shd w:fill="EAF1F3" w:val="clear"/>
            <w:tcMar>
              <w:top w:type="dxa" w:w="80"/>
              <w:left w:type="dxa" w:w="100"/>
              <w:bottom w:type="dxa" w:w="80"/>
              <w:right w:type="dxa" w:w="100"/>
            </w:tcMar>
          </w:tcPr>
          <w:p>
            <w:r>
              <w:rPr>
                <w:b/>
                <w:bCs/>
                <w:sz w:val="20"/>
                <w:szCs w:val="20"/>
              </w:rPr>
              <w:t xml:space="preserve">Result</w:t>
            </w:r>
          </w:p>
        </w:tc>
      </w:tr>
      <w:tr>
        <w:tc>
          <w:tcPr>
            <w:tcW w:type="dxa" w:w="3600"/>
            <w:tcMar>
              <w:top w:type="dxa" w:w="80"/>
              <w:left w:type="dxa" w:w="100"/>
              <w:bottom w:type="dxa" w:w="80"/>
              <w:right w:type="dxa" w:w="100"/>
            </w:tcMar>
          </w:tcPr>
          <w:p>
            <w:r>
              <w:rPr>
                <w:b w:val="false"/>
                <w:bCs w:val="false"/>
                <w:sz w:val="20"/>
                <w:szCs w:val="20"/>
              </w:rPr>
              <w:t xml:space="preserve">Zero noise (idealized model)</w:t>
            </w:r>
          </w:p>
        </w:tc>
        <w:tc>
          <w:tcPr>
            <w:tcW w:type="dxa" w:w="2200"/>
            <w:tcMar>
              <w:top w:type="dxa" w:w="80"/>
              <w:left w:type="dxa" w:w="100"/>
              <w:bottom w:type="dxa" w:w="80"/>
              <w:right w:type="dxa" w:w="100"/>
            </w:tcMar>
          </w:tcPr>
          <w:p>
            <w:r>
              <w:rPr>
                <w:b w:val="false"/>
                <w:bCs w:val="false"/>
                <w:sz w:val="20"/>
                <w:szCs w:val="20"/>
              </w:rPr>
              <w:t xml:space="preserve">100.0%</w:t>
            </w:r>
          </w:p>
        </w:tc>
        <w:tc>
          <w:tcPr>
            <w:tcW w:type="dxa" w:w="2200"/>
            <w:tcMar>
              <w:top w:type="dxa" w:w="80"/>
              <w:left w:type="dxa" w:w="100"/>
              <w:bottom w:type="dxa" w:w="80"/>
              <w:right w:type="dxa" w:w="100"/>
            </w:tcMar>
          </w:tcPr>
          <w:p>
            <w:r>
              <w:rPr>
                <w:b w:val="false"/>
                <w:bCs w:val="false"/>
                <w:sz w:val="20"/>
                <w:szCs w:val="20"/>
              </w:rPr>
              <w:t xml:space="preserve">9.7 : 1</w:t>
            </w:r>
          </w:p>
        </w:tc>
        <w:tc>
          <w:tcPr>
            <w:tcW w:type="dxa" w:w="1720"/>
            <w:tcMar>
              <w:top w:type="dxa" w:w="80"/>
              <w:left w:type="dxa" w:w="100"/>
              <w:bottom w:type="dxa" w:w="80"/>
              <w:right w:type="dxa" w:w="100"/>
            </w:tcMar>
          </w:tcPr>
          <w:p>
            <w:r>
              <w:rPr>
                <w:b w:val="false"/>
                <w:bCs w:val="false"/>
                <w:sz w:val="20"/>
                <w:szCs w:val="20"/>
              </w:rPr>
              <w:t xml:space="preserve">Pass</w:t>
            </w:r>
          </w:p>
        </w:tc>
      </w:tr>
      <w:tr>
        <w:tc>
          <w:tcPr>
            <w:tcW w:type="dxa" w:w="3600"/>
            <w:tcMar>
              <w:top w:type="dxa" w:w="80"/>
              <w:left w:type="dxa" w:w="100"/>
              <w:bottom w:type="dxa" w:w="80"/>
              <w:right w:type="dxa" w:w="100"/>
            </w:tcMar>
          </w:tcPr>
          <w:p>
            <w:r>
              <w:rPr>
                <w:b w:val="false"/>
                <w:bCs w:val="false"/>
                <w:sz w:val="20"/>
                <w:szCs w:val="20"/>
              </w:rPr>
              <w:t xml:space="preserve">Mild biological noise</w:t>
            </w:r>
          </w:p>
        </w:tc>
        <w:tc>
          <w:tcPr>
            <w:tcW w:type="dxa" w:w="2200"/>
            <w:tcMar>
              <w:top w:type="dxa" w:w="80"/>
              <w:left w:type="dxa" w:w="100"/>
              <w:bottom w:type="dxa" w:w="80"/>
              <w:right w:type="dxa" w:w="100"/>
            </w:tcMar>
          </w:tcPr>
          <w:p>
            <w:r>
              <w:rPr>
                <w:b w:val="false"/>
                <w:bCs w:val="false"/>
                <w:sz w:val="20"/>
                <w:szCs w:val="20"/>
              </w:rPr>
              <w:t xml:space="preserve">66.7%</w:t>
            </w:r>
          </w:p>
        </w:tc>
        <w:tc>
          <w:tcPr>
            <w:tcW w:type="dxa" w:w="2200"/>
            <w:tcMar>
              <w:top w:type="dxa" w:w="80"/>
              <w:left w:type="dxa" w:w="100"/>
              <w:bottom w:type="dxa" w:w="80"/>
              <w:right w:type="dxa" w:w="100"/>
            </w:tcMar>
          </w:tcPr>
          <w:p>
            <w:r>
              <w:rPr>
                <w:b w:val="false"/>
                <w:bCs w:val="false"/>
                <w:sz w:val="20"/>
                <w:szCs w:val="20"/>
              </w:rPr>
              <w:t xml:space="preserve">1.0 : 1</w:t>
            </w:r>
          </w:p>
        </w:tc>
        <w:tc>
          <w:tcPr>
            <w:tcW w:type="dxa" w:w="1720"/>
            <w:tcMar>
              <w:top w:type="dxa" w:w="80"/>
              <w:left w:type="dxa" w:w="100"/>
              <w:bottom w:type="dxa" w:w="80"/>
              <w:right w:type="dxa" w:w="100"/>
            </w:tcMar>
          </w:tcPr>
          <w:p>
            <w:r>
              <w:rPr>
                <w:b w:val="false"/>
                <w:bCs w:val="false"/>
                <w:sz w:val="20"/>
                <w:szCs w:val="20"/>
              </w:rPr>
              <w:t xml:space="preserve">Fail</w:t>
            </w:r>
          </w:p>
        </w:tc>
      </w:tr>
      <w:tr>
        <w:tc>
          <w:tcPr>
            <w:tcW w:type="dxa" w:w="3600"/>
            <w:tcMar>
              <w:top w:type="dxa" w:w="80"/>
              <w:left w:type="dxa" w:w="100"/>
              <w:bottom w:type="dxa" w:w="80"/>
              <w:right w:type="dxa" w:w="100"/>
            </w:tcMar>
          </w:tcPr>
          <w:p>
            <w:r>
              <w:rPr>
                <w:b w:val="false"/>
                <w:bCs w:val="false"/>
                <w:sz w:val="20"/>
                <w:szCs w:val="20"/>
              </w:rPr>
              <w:t xml:space="preserve">Realistic biological noise</w:t>
            </w:r>
          </w:p>
        </w:tc>
        <w:tc>
          <w:tcPr>
            <w:tcW w:type="dxa" w:w="2200"/>
            <w:tcMar>
              <w:top w:type="dxa" w:w="80"/>
              <w:left w:type="dxa" w:w="100"/>
              <w:bottom w:type="dxa" w:w="80"/>
              <w:right w:type="dxa" w:w="100"/>
            </w:tcMar>
          </w:tcPr>
          <w:p>
            <w:r>
              <w:rPr>
                <w:b w:val="false"/>
                <w:bCs w:val="false"/>
                <w:sz w:val="20"/>
                <w:szCs w:val="20"/>
              </w:rPr>
              <w:t xml:space="preserve">57.8%</w:t>
            </w:r>
          </w:p>
        </w:tc>
        <w:tc>
          <w:tcPr>
            <w:tcW w:type="dxa" w:w="2200"/>
            <w:tcMar>
              <w:top w:type="dxa" w:w="80"/>
              <w:left w:type="dxa" w:w="100"/>
              <w:bottom w:type="dxa" w:w="80"/>
              <w:right w:type="dxa" w:w="100"/>
            </w:tcMar>
          </w:tcPr>
          <w:p>
            <w:r>
              <w:rPr>
                <w:b w:val="false"/>
                <w:bCs w:val="false"/>
                <w:sz w:val="20"/>
                <w:szCs w:val="20"/>
              </w:rPr>
              <w:t xml:space="preserve">0.2 : 1</w:t>
            </w:r>
          </w:p>
        </w:tc>
        <w:tc>
          <w:tcPr>
            <w:tcW w:type="dxa" w:w="1720"/>
            <w:tcMar>
              <w:top w:type="dxa" w:w="80"/>
              <w:left w:type="dxa" w:w="100"/>
              <w:bottom w:type="dxa" w:w="80"/>
              <w:right w:type="dxa" w:w="100"/>
            </w:tcMar>
          </w:tcPr>
          <w:p>
            <w:r>
              <w:rPr>
                <w:b w:val="false"/>
                <w:bCs w:val="false"/>
                <w:sz w:val="20"/>
                <w:szCs w:val="20"/>
              </w:rPr>
              <w:t xml:space="preserve">Fail – near coin-flip</w:t>
            </w:r>
          </w:p>
        </w:tc>
      </w:tr>
      <w:tr>
        <w:tc>
          <w:tcPr>
            <w:tcW w:type="dxa" w:w="3600"/>
            <w:tcMar>
              <w:top w:type="dxa" w:w="80"/>
              <w:left w:type="dxa" w:w="100"/>
              <w:bottom w:type="dxa" w:w="80"/>
              <w:right w:type="dxa" w:w="100"/>
            </w:tcMar>
          </w:tcPr>
          <w:p>
            <w:r>
              <w:rPr>
                <w:b w:val="false"/>
                <w:bCs w:val="false"/>
                <w:sz w:val="20"/>
                <w:szCs w:val="20"/>
              </w:rPr>
              <w:t xml:space="preserve">Realistic noise + naturally-plausible feedback</w:t>
            </w:r>
          </w:p>
        </w:tc>
        <w:tc>
          <w:tcPr>
            <w:tcW w:type="dxa" w:w="2200"/>
            <w:tcMar>
              <w:top w:type="dxa" w:w="80"/>
              <w:left w:type="dxa" w:w="100"/>
              <w:bottom w:type="dxa" w:w="80"/>
              <w:right w:type="dxa" w:w="100"/>
            </w:tcMar>
          </w:tcPr>
          <w:p>
            <w:r>
              <w:rPr>
                <w:b w:val="false"/>
                <w:bCs w:val="false"/>
                <w:sz w:val="20"/>
                <w:szCs w:val="20"/>
              </w:rPr>
              <w:t xml:space="preserve">≤ 59.3%</w:t>
            </w:r>
          </w:p>
        </w:tc>
        <w:tc>
          <w:tcPr>
            <w:tcW w:type="dxa" w:w="2200"/>
            <w:tcMar>
              <w:top w:type="dxa" w:w="80"/>
              <w:left w:type="dxa" w:w="100"/>
              <w:bottom w:type="dxa" w:w="80"/>
              <w:right w:type="dxa" w:w="100"/>
            </w:tcMar>
          </w:tcPr>
          <w:p>
            <w:r>
              <w:rPr>
                <w:b w:val="false"/>
                <w:bCs w:val="false"/>
                <w:sz w:val="20"/>
                <w:szCs w:val="20"/>
              </w:rPr>
              <w:t xml:space="preserve">≤ 0.4 : 1</w:t>
            </w:r>
          </w:p>
        </w:tc>
        <w:tc>
          <w:tcPr>
            <w:tcW w:type="dxa" w:w="1720"/>
            <w:tcMar>
              <w:top w:type="dxa" w:w="80"/>
              <w:left w:type="dxa" w:w="100"/>
              <w:bottom w:type="dxa" w:w="80"/>
              <w:right w:type="dxa" w:w="100"/>
            </w:tcMar>
          </w:tcPr>
          <w:p>
            <w:r>
              <w:rPr>
                <w:b w:val="false"/>
                <w:bCs w:val="false"/>
                <w:sz w:val="20"/>
                <w:szCs w:val="20"/>
              </w:rPr>
              <w:t xml:space="preserve">Fail</w:t>
            </w:r>
          </w:p>
        </w:tc>
      </w:tr>
      <w:tr>
        <w:tc>
          <w:tcPr>
            <w:tcW w:type="dxa" w:w="3600"/>
            <w:tcMar>
              <w:top w:type="dxa" w:w="80"/>
              <w:left w:type="dxa" w:w="100"/>
              <w:bottom w:type="dxa" w:w="80"/>
              <w:right w:type="dxa" w:w="100"/>
            </w:tcMar>
          </w:tcPr>
          <w:p>
            <w:r>
              <w:rPr>
                <w:b w:val="false"/>
                <w:bCs w:val="false"/>
                <w:sz w:val="20"/>
                <w:szCs w:val="20"/>
              </w:rPr>
              <w:t xml:space="preserve">Realistic noise + strong engineered feedback (≥ 20× naturally-plausible)</w:t>
            </w:r>
          </w:p>
        </w:tc>
        <w:tc>
          <w:tcPr>
            <w:tcW w:type="dxa" w:w="2200"/>
            <w:tcMar>
              <w:top w:type="dxa" w:w="80"/>
              <w:left w:type="dxa" w:w="100"/>
              <w:bottom w:type="dxa" w:w="80"/>
              <w:right w:type="dxa" w:w="100"/>
            </w:tcMar>
          </w:tcPr>
          <w:p>
            <w:r>
              <w:rPr>
                <w:b w:val="false"/>
                <w:bCs w:val="false"/>
                <w:sz w:val="20"/>
                <w:szCs w:val="20"/>
              </w:rPr>
              <w:t xml:space="preserve">98.9%</w:t>
            </w:r>
          </w:p>
        </w:tc>
        <w:tc>
          <w:tcPr>
            <w:tcW w:type="dxa" w:w="2200"/>
            <w:tcMar>
              <w:top w:type="dxa" w:w="80"/>
              <w:left w:type="dxa" w:w="100"/>
              <w:bottom w:type="dxa" w:w="80"/>
              <w:right w:type="dxa" w:w="100"/>
            </w:tcMar>
          </w:tcPr>
          <w:p>
            <w:r>
              <w:rPr>
                <w:b w:val="false"/>
                <w:bCs w:val="false"/>
                <w:sz w:val="20"/>
                <w:szCs w:val="20"/>
              </w:rPr>
              <w:t xml:space="preserve">31.5 : 1</w:t>
            </w:r>
          </w:p>
        </w:tc>
        <w:tc>
          <w:tcPr>
            <w:tcW w:type="dxa" w:w="1720"/>
            <w:tcMar>
              <w:top w:type="dxa" w:w="80"/>
              <w:left w:type="dxa" w:w="100"/>
              <w:bottom w:type="dxa" w:w="80"/>
              <w:right w:type="dxa" w:w="100"/>
            </w:tcMar>
          </w:tcPr>
          <w:p>
            <w:r>
              <w:rPr>
                <w:b w:val="false"/>
                <w:bCs w:val="false"/>
                <w:sz w:val="20"/>
                <w:szCs w:val="20"/>
              </w:rPr>
              <w:t xml:space="preserve">Pass</w:t>
            </w:r>
          </w:p>
        </w:tc>
      </w:tr>
    </w:tbl>
    <w:p>
      <w:pPr>
        <w:spacing w:after="200"/>
      </w:pPr>
    </w:p>
    <w:p>
      <w:pPr>
        <w:spacing w:after="160"/>
      </w:pPr>
      <w:r>
        <w:t xml:space="preserve">Two further tests closed off the obvious workarounds. First: adding redundancy (multiple independent tiles, majority vote — the project's “Bio-RAID” architecture) does not rescue a weak signal; per Condorcet's jury theorem, majority voting only helps once each individual reading already beats chance, and here it doesn't. Second: a simulated multi-cycle “hand off data, then let the old tile heal” lifecycle (5 cycles) showed that once the feedback threshold above is met, fidelity stays at 100% with no degradation across cycles — the strong attractor behaves like a digital repeater rather than accumulating error like an analog copy.</w:t>
      </w:r>
    </w:p>
    <w:p>
      <w:pPr>
        <w:spacing w:after="160"/>
      </w:pPr>
      <w:r>
        <w:t xml:space="preserve">Conclusion: the original persistence claim was a zero-noise artifact. The concept survives contact with realistic biological noise only if backed by a deliberately engineered, strongly bistable circuit — not passive cell biology. That reframed the entire remaining question.</w:t>
      </w:r>
    </w:p>
    <w:p>
      <w:pPr>
        <w:pStyle w:val="Heading2"/>
        <w:spacing w:after="120" w:before="260"/>
      </w:pPr>
      <w:r>
        <w:t xml:space="preserve">2.3 — A concrete, buildable circuit design (not just a claim)</w:t>
      </w:r>
    </w:p>
    <w:p>
      <w:pPr>
        <w:spacing w:after="160"/>
      </w:pPr>
      <w:r>
        <w:t xml:space="preserve">We replaced the abstract “needs a strong bistable circuit” requirement with an actual design, built from two free, real sources: the Gardner et al. (2000) toggle-switch topology (a two-repressor mutual-inhibition circuit with published, demonstrated bistable dynamics), implemented using promoters from the Bacillus BioBrick Box — a free, open, BioBrick-compatible parts library characterized directly in B. subtilis (not a different organism), spanning over three orders of magnitude in measured promoter strength.</w:t>
      </w:r>
    </w:p>
    <w:p>
      <w:pPr>
        <w:spacing w:after="160"/>
      </w:pPr>
      <w:r>
        <w:t xml:space="preserve">Simulating this combined, literature-grounded circuit surfaced a finding the abstract placeholder could never have shown: bistability is not a matter of degree — it either exists or it doesn't. With well-matched promoter strengths, the circuit is fully robust (100% fidelity, matching the threshold above). With a severe strength mismatch (still within the BBB library's characterized range), bistability collapses entirely: only one stable state exists, and fidelity floors at 50% regardless of what was written. This turns “build a good enough circuit” into a specific, checkable design rule: select two similarly-strengthed promoters from an existing, free, already-characterized parts library.</w:t>
      </w:r>
    </w:p>
    <w:p>
      <w:pPr>
        <w:pStyle w:val="Heading1"/>
        <w:spacing w:after="160" w:before="360"/>
      </w:pPr>
      <w:r>
        <w:t xml:space="preserve">3. What We Still Need — the Specific Empirical Gap</w:t>
      </w:r>
    </w:p>
    <w:p>
      <w:pPr>
        <w:spacing w:after="160"/>
      </w:pPr>
      <w:r>
        <w:t xml:space="preserve">Every result above is literature or simulation. None of it is a measurement of living cells. Two distinct, previously-untested sub-claims now stand between the current design and a working memory substrate:</w:t>
      </w:r>
    </w:p>
    <w:p>
      <w:pPr>
        <w:pStyle w:val="ListParagraph"/>
        <w:numPr>
          <w:ilvl w:val="0"/>
          <w:numId w:val="2"/>
        </w:numPr>
        <w:spacing w:after="100"/>
      </w:pPr>
      <w:r>
        <w:t xml:space="preserve">Claim A — Real bistability: does a matched-strength promoter pair from the Bacillus BioBrick Box actually exhibit two stable, switchable states in living B. subtilis, as the Gardner-topology simulation predicts? This has never been tested — Gardner's own toggle switch was built and measured in E. coli, not B. subtilis.</w:t>
      </w:r>
    </w:p>
    <w:p>
      <w:pPr>
        <w:pStyle w:val="ListParagraph"/>
        <w:numPr>
          <w:ilvl w:val="0"/>
          <w:numId w:val="2"/>
        </w:numPr>
        <w:spacing w:after="100"/>
      </w:pPr>
      <w:r>
        <w:t xml:space="preserve">Claim B — The voltage interface: can the circuit's repressor output be coupled to real ion-channel expression, so that the genetic “bit” becomes an actual, measurable membrane-voltage state? This link has no prior art at all — nobody has built or measured it, in any organism.</w:t>
      </w:r>
    </w:p>
    <w:p>
      <w:pPr>
        <w:spacing w:after="160"/>
      </w:pPr>
      <w:r>
        <w:t xml:space="preserve">A third, parallel question carries over from the project's original planarian-tissue track and remains open: do arbitrary (non-morphogenetic) voltage patterns persist in a regenerating organism the same way natural developmental bioelectric patterns do? Levin's published results establish persistence of natural patterns; nothing in the literature establishes it for arbitrary, engineered ones.</w:t>
      </w:r>
    </w:p>
    <w:p>
      <w:pPr>
        <w:pStyle w:val="Heading1"/>
        <w:spacing w:after="160" w:before="360"/>
      </w:pPr>
      <w:r>
        <w:t xml:space="preserve">4. Proposed Experimental Plan</w:t>
      </w:r>
    </w:p>
    <w:p>
      <w:pPr>
        <w:spacing w:after="160"/>
      </w:pPr>
      <w:r>
        <w:t xml:space="preserve">Ordered from cheapest and fastest to most expensive and informative. Each stage is a clean go/no-go gate — a negative result at any stage is a fast, cheap answer that redirects effort, not a wasted spend.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560"/>
        <w:gridCol w:w="1160"/>
      </w:tblGrid>
      <w:tr>
        <w:trPr>
          <w:tblHeader/>
        </w:trPr>
        <w:tc>
          <w:tcPr>
            <w:tcW w:type="dxa" w:w="2800"/>
            <w:shd w:fill="EAF1F3" w:val="clear"/>
            <w:tcMar>
              <w:top w:type="dxa" w:w="80"/>
              <w:left w:type="dxa" w:w="100"/>
              <w:bottom w:type="dxa" w:w="80"/>
              <w:right w:type="dxa" w:w="100"/>
            </w:tcMar>
          </w:tcPr>
          <w:p>
            <w:r>
              <w:rPr>
                <w:b/>
                <w:bCs/>
                <w:sz w:val="20"/>
                <w:szCs w:val="20"/>
              </w:rPr>
              <w:t xml:space="preserve">Stage</w:t>
            </w:r>
          </w:p>
        </w:tc>
        <w:tc>
          <w:tcPr>
            <w:tcW w:type="dxa" w:w="4200"/>
            <w:shd w:fill="EAF1F3" w:val="clear"/>
            <w:tcMar>
              <w:top w:type="dxa" w:w="80"/>
              <w:left w:type="dxa" w:w="100"/>
              <w:bottom w:type="dxa" w:w="80"/>
              <w:right w:type="dxa" w:w="100"/>
            </w:tcMar>
          </w:tcPr>
          <w:p>
            <w:r>
              <w:rPr>
                <w:b/>
                <w:bCs/>
                <w:sz w:val="20"/>
                <w:szCs w:val="20"/>
              </w:rPr>
              <w:t xml:space="preserve">Question answered</w:t>
            </w:r>
          </w:p>
        </w:tc>
        <w:tc>
          <w:tcPr>
            <w:tcW w:type="dxa" w:w="1560"/>
            <w:shd w:fill="EAF1F3" w:val="clear"/>
            <w:tcMar>
              <w:top w:type="dxa" w:w="80"/>
              <w:left w:type="dxa" w:w="100"/>
              <w:bottom w:type="dxa" w:w="80"/>
              <w:right w:type="dxa" w:w="100"/>
            </w:tcMar>
          </w:tcPr>
          <w:p>
            <w:r>
              <w:rPr>
                <w:b/>
                <w:bCs/>
                <w:sz w:val="20"/>
                <w:szCs w:val="20"/>
              </w:rPr>
              <w:t xml:space="preserve">Est. cost</w:t>
            </w:r>
          </w:p>
        </w:tc>
        <w:tc>
          <w:tcPr>
            <w:tcW w:type="dxa" w:w="1160"/>
            <w:shd w:fill="EAF1F3" w:val="clear"/>
            <w:tcMar>
              <w:top w:type="dxa" w:w="80"/>
              <w:left w:type="dxa" w:w="100"/>
              <w:bottom w:type="dxa" w:w="80"/>
              <w:right w:type="dxa" w:w="100"/>
            </w:tcMar>
          </w:tcPr>
          <w:p>
            <w:r>
              <w:rPr>
                <w:b/>
                <w:bCs/>
                <w:sz w:val="20"/>
                <w:szCs w:val="20"/>
              </w:rPr>
              <w:t xml:space="preserve">Est. time</w:t>
            </w:r>
          </w:p>
        </w:tc>
      </w:tr>
      <w:tr>
        <w:tc>
          <w:tcPr>
            <w:tcW w:type="dxa" w:w="2800"/>
            <w:tcMar>
              <w:top w:type="dxa" w:w="80"/>
              <w:left w:type="dxa" w:w="100"/>
              <w:bottom w:type="dxa" w:w="80"/>
              <w:right w:type="dxa" w:w="100"/>
            </w:tcMar>
          </w:tcPr>
          <w:p>
            <w:r>
              <w:rPr>
                <w:b w:val="false"/>
                <w:bCs w:val="false"/>
                <w:sz w:val="20"/>
                <w:szCs w:val="20"/>
              </w:rPr>
              <w:t xml:space="preserve">0 — B. subtilis toggle confirmation</w:t>
            </w:r>
          </w:p>
        </w:tc>
        <w:tc>
          <w:tcPr>
            <w:tcW w:type="dxa" w:w="4200"/>
            <w:tcMar>
              <w:top w:type="dxa" w:w="80"/>
              <w:left w:type="dxa" w:w="100"/>
              <w:bottom w:type="dxa" w:w="80"/>
              <w:right w:type="dxa" w:w="100"/>
            </w:tcMar>
          </w:tcPr>
          <w:p>
            <w:r>
              <w:rPr>
                <w:b w:val="false"/>
                <w:bCs w:val="false"/>
                <w:sz w:val="20"/>
                <w:szCs w:val="20"/>
              </w:rPr>
              <w:t xml:space="preserve">Does Claim A hold? (matched-promoter bistability, reporter assay only, off-the-shelf BBB parts)</w:t>
            </w:r>
          </w:p>
        </w:tc>
        <w:tc>
          <w:tcPr>
            <w:tcW w:type="dxa" w:w="1560"/>
            <w:tcMar>
              <w:top w:type="dxa" w:w="80"/>
              <w:left w:type="dxa" w:w="100"/>
              <w:bottom w:type="dxa" w:w="80"/>
              <w:right w:type="dxa" w:w="100"/>
            </w:tcMar>
          </w:tcPr>
          <w:p>
            <w:r>
              <w:rPr>
                <w:b w:val="false"/>
                <w:bCs w:val="false"/>
                <w:sz w:val="20"/>
                <w:szCs w:val="20"/>
              </w:rPr>
              <w:t xml:space="preserve">$2K–$5K</w:t>
            </w:r>
          </w:p>
        </w:tc>
        <w:tc>
          <w:tcPr>
            <w:tcW w:type="dxa" w:w="1160"/>
            <w:tcMar>
              <w:top w:type="dxa" w:w="80"/>
              <w:left w:type="dxa" w:w="100"/>
              <w:bottom w:type="dxa" w:w="80"/>
              <w:right w:type="dxa" w:w="100"/>
            </w:tcMar>
          </w:tcPr>
          <w:p>
            <w:r>
              <w:rPr>
                <w:b w:val="false"/>
                <w:bCs w:val="false"/>
                <w:sz w:val="20"/>
                <w:szCs w:val="20"/>
              </w:rPr>
              <w:t xml:space="preserve">6–10 weeks</w:t>
            </w:r>
          </w:p>
        </w:tc>
      </w:tr>
      <w:tr>
        <w:tc>
          <w:tcPr>
            <w:tcW w:type="dxa" w:w="2800"/>
            <w:tcMar>
              <w:top w:type="dxa" w:w="80"/>
              <w:left w:type="dxa" w:w="100"/>
              <w:bottom w:type="dxa" w:w="80"/>
              <w:right w:type="dxa" w:w="100"/>
            </w:tcMar>
          </w:tcPr>
          <w:p>
            <w:r>
              <w:rPr>
                <w:b w:val="false"/>
                <w:bCs w:val="false"/>
                <w:sz w:val="20"/>
                <w:szCs w:val="20"/>
              </w:rPr>
              <w:t xml:space="preserve">1 — HEK293 gap-junction persistence</w:t>
            </w:r>
          </w:p>
        </w:tc>
        <w:tc>
          <w:tcPr>
            <w:tcW w:type="dxa" w:w="4200"/>
            <w:tcMar>
              <w:top w:type="dxa" w:w="80"/>
              <w:left w:type="dxa" w:w="100"/>
              <w:bottom w:type="dxa" w:w="80"/>
              <w:right w:type="dxa" w:w="100"/>
            </w:tcMar>
          </w:tcPr>
          <w:p>
            <w:r>
              <w:rPr>
                <w:b w:val="false"/>
                <w:bCs w:val="false"/>
                <w:sz w:val="20"/>
                <w:szCs w:val="20"/>
              </w:rPr>
              <w:t xml:space="preserve">Do arbitrary voltage patterns persist 24h+ in a simple, fast-culture gap-junction network?</w:t>
            </w:r>
          </w:p>
        </w:tc>
        <w:tc>
          <w:tcPr>
            <w:tcW w:type="dxa" w:w="1560"/>
            <w:tcMar>
              <w:top w:type="dxa" w:w="80"/>
              <w:left w:type="dxa" w:w="100"/>
              <w:bottom w:type="dxa" w:w="80"/>
              <w:right w:type="dxa" w:w="100"/>
            </w:tcMar>
          </w:tcPr>
          <w:p>
            <w:r>
              <w:rPr>
                <w:b w:val="false"/>
                <w:bCs w:val="false"/>
                <w:sz w:val="20"/>
                <w:szCs w:val="20"/>
              </w:rPr>
              <w:t xml:space="preserve">$2.4K–$10K</w:t>
            </w:r>
          </w:p>
        </w:tc>
        <w:tc>
          <w:tcPr>
            <w:tcW w:type="dxa" w:w="1160"/>
            <w:tcMar>
              <w:top w:type="dxa" w:w="80"/>
              <w:left w:type="dxa" w:w="100"/>
              <w:bottom w:type="dxa" w:w="80"/>
              <w:right w:type="dxa" w:w="100"/>
            </w:tcMar>
          </w:tcPr>
          <w:p>
            <w:r>
              <w:rPr>
                <w:b w:val="false"/>
                <w:bCs w:val="false"/>
                <w:sz w:val="20"/>
                <w:szCs w:val="20"/>
              </w:rPr>
              <w:t xml:space="preserve">3–6 months</w:t>
            </w:r>
          </w:p>
        </w:tc>
      </w:tr>
      <w:tr>
        <w:tc>
          <w:tcPr>
            <w:tcW w:type="dxa" w:w="2800"/>
            <w:tcMar>
              <w:top w:type="dxa" w:w="80"/>
              <w:left w:type="dxa" w:w="100"/>
              <w:bottom w:type="dxa" w:w="80"/>
              <w:right w:type="dxa" w:w="100"/>
            </w:tcMar>
          </w:tcPr>
          <w:p>
            <w:r>
              <w:rPr>
                <w:b w:val="false"/>
                <w:bCs w:val="false"/>
                <w:sz w:val="20"/>
                <w:szCs w:val="20"/>
              </w:rPr>
              <w:t xml:space="preserve">2 — Planarian minimal viable experiment</w:t>
            </w:r>
          </w:p>
        </w:tc>
        <w:tc>
          <w:tcPr>
            <w:tcW w:type="dxa" w:w="4200"/>
            <w:tcMar>
              <w:top w:type="dxa" w:w="80"/>
              <w:left w:type="dxa" w:w="100"/>
              <w:bottom w:type="dxa" w:w="80"/>
              <w:right w:type="dxa" w:w="100"/>
            </w:tcMar>
          </w:tcPr>
          <w:p>
            <w:r>
              <w:rPr>
                <w:b w:val="false"/>
                <w:bCs w:val="false"/>
                <w:sz w:val="20"/>
                <w:szCs w:val="20"/>
              </w:rPr>
              <w:t xml:space="preserve">Do arbitrary patterns persist in the target regenerative organism itself?</w:t>
            </w:r>
          </w:p>
        </w:tc>
        <w:tc>
          <w:tcPr>
            <w:tcW w:type="dxa" w:w="1560"/>
            <w:tcMar>
              <w:top w:type="dxa" w:w="80"/>
              <w:left w:type="dxa" w:w="100"/>
              <w:bottom w:type="dxa" w:w="80"/>
              <w:right w:type="dxa" w:w="100"/>
            </w:tcMar>
          </w:tcPr>
          <w:p>
            <w:r>
              <w:rPr>
                <w:b w:val="false"/>
                <w:bCs w:val="false"/>
                <w:sz w:val="20"/>
                <w:szCs w:val="20"/>
              </w:rPr>
              <w:t xml:space="preserve">$10K–$30K</w:t>
            </w:r>
          </w:p>
        </w:tc>
        <w:tc>
          <w:tcPr>
            <w:tcW w:type="dxa" w:w="1160"/>
            <w:tcMar>
              <w:top w:type="dxa" w:w="80"/>
              <w:left w:type="dxa" w:w="100"/>
              <w:bottom w:type="dxa" w:w="80"/>
              <w:right w:type="dxa" w:w="100"/>
            </w:tcMar>
          </w:tcPr>
          <w:p>
            <w:r>
              <w:rPr>
                <w:b w:val="false"/>
                <w:bCs w:val="false"/>
                <w:sz w:val="20"/>
                <w:szCs w:val="20"/>
              </w:rPr>
              <w:t xml:space="preserve">6–12 months</w:t>
            </w:r>
          </w:p>
        </w:tc>
      </w:tr>
      <w:tr>
        <w:tc>
          <w:tcPr>
            <w:tcW w:type="dxa" w:w="2800"/>
            <w:tcMar>
              <w:top w:type="dxa" w:w="80"/>
              <w:left w:type="dxa" w:w="100"/>
              <w:bottom w:type="dxa" w:w="80"/>
              <w:right w:type="dxa" w:w="100"/>
            </w:tcMar>
          </w:tcPr>
          <w:p>
            <w:r>
              <w:rPr>
                <w:b w:val="false"/>
                <w:bCs w:val="false"/>
                <w:sz w:val="20"/>
                <w:szCs w:val="20"/>
              </w:rPr>
              <w:t xml:space="preserve">3 — Voltage-interface build (Claim B)</w:t>
            </w:r>
          </w:p>
        </w:tc>
        <w:tc>
          <w:tcPr>
            <w:tcW w:type="dxa" w:w="4200"/>
            <w:tcMar>
              <w:top w:type="dxa" w:w="80"/>
              <w:left w:type="dxa" w:w="100"/>
              <w:bottom w:type="dxa" w:w="80"/>
              <w:right w:type="dxa" w:w="100"/>
            </w:tcMar>
          </w:tcPr>
          <w:p>
            <w:r>
              <w:rPr>
                <w:b w:val="false"/>
                <w:bCs w:val="false"/>
                <w:sz w:val="20"/>
                <w:szCs w:val="20"/>
              </w:rPr>
              <w:t xml:space="preserve">Can repressor output be coupled to a measurable membrane-voltage bit?</w:t>
            </w:r>
          </w:p>
        </w:tc>
        <w:tc>
          <w:tcPr>
            <w:tcW w:type="dxa" w:w="1560"/>
            <w:tcMar>
              <w:top w:type="dxa" w:w="80"/>
              <w:left w:type="dxa" w:w="100"/>
              <w:bottom w:type="dxa" w:w="80"/>
              <w:right w:type="dxa" w:w="100"/>
            </w:tcMar>
          </w:tcPr>
          <w:p>
            <w:r>
              <w:rPr>
                <w:b w:val="false"/>
                <w:bCs w:val="false"/>
                <w:sz w:val="20"/>
                <w:szCs w:val="20"/>
              </w:rPr>
              <w:t xml:space="preserve">To be scoped with a synthetic-biology partner</w:t>
            </w:r>
          </w:p>
        </w:tc>
        <w:tc>
          <w:tcPr>
            <w:tcW w:type="dxa" w:w="1160"/>
            <w:tcMar>
              <w:top w:type="dxa" w:w="80"/>
              <w:left w:type="dxa" w:w="100"/>
              <w:bottom w:type="dxa" w:w="80"/>
              <w:right w:type="dxa" w:w="100"/>
            </w:tcMar>
          </w:tcPr>
          <w:p>
            <w:r>
              <w:rPr>
                <w:b w:val="false"/>
                <w:bCs w:val="false"/>
                <w:sz w:val="20"/>
                <w:szCs w:val="20"/>
              </w:rPr>
              <w:t xml:space="preserve">TBD</w:t>
            </w:r>
          </w:p>
        </w:tc>
      </w:tr>
    </w:tbl>
    <w:p>
      <w:pPr>
        <w:spacing w:after="160"/>
      </w:pPr>
    </w:p>
    <w:p>
      <w:pPr>
        <w:spacing w:after="200"/>
      </w:pPr>
      <w:r>
        <w:rPr>
          <w:i/>
          <w:iCs/>
          <w:color w:val="666666"/>
          <w:sz w:val="18"/>
          <w:szCs w:val="18"/>
        </w:rPr>
        <w:t xml:space="preserve">Stage 1 cost/timeline from the project's existing detailed HEK293 protocol (Experiment A). Stage 2 from the project's internal scientific audit's recommended minimal viable experiment. Stage 0 is newly scoped for this proposal, sized against Stage 1 as a reference — bacterial reporter-assay work is typically faster and cheaper than mammalian cell culture, but this figure has not yet been quoted by a lab and should be treated as a planning estimate.</w:t>
      </w:r>
    </w:p>
    <w:p>
      <w:pPr>
        <w:spacing w:after="160"/>
      </w:pPr>
      <w:r>
        <w:t xml:space="preserve">We recommend funding Stage 0 first. It is the fastest and cheapest way to test the single design constraint (promoter matching) that the circuit simulation identified as make-or-break — and it uses parts that already exist and are free to obtain.</w:t>
      </w:r>
    </w:p>
    <w:p>
      <w:pPr>
        <w:pStyle w:val="Heading1"/>
        <w:spacing w:after="160" w:before="360"/>
      </w:pPr>
      <w:r>
        <w:t xml:space="preserve">5. Success Criteria — the Results We're Looking For</w:t>
      </w:r>
    </w:p>
    <w:p>
      <w:pPr>
        <w:spacing w:after="160"/>
      </w:pPr>
      <w:r>
        <w:t xml:space="preserve">Defined quantitatively in advance, so the outcome is judged against a fixed bar rather than interpreted after the fact:</w:t>
      </w:r>
    </w:p>
    <w:p>
      <w:pPr>
        <w:pStyle w:val="ListParagraph"/>
        <w:numPr>
          <w:ilvl w:val="0"/>
          <w:numId w:val="2"/>
        </w:numPr>
        <w:spacing w:after="100"/>
      </w:pPr>
      <w:r>
        <w:t xml:space="preserve">Bistability confirmed (Stage 0): reporter output (lacZ/lux) shows a clearly bimodal distribution across a colony population, with reliable switching between states following a transient induction pulse in either direction.</w:t>
      </w:r>
    </w:p>
    <w:p>
      <w:pPr>
        <w:pStyle w:val="ListParagraph"/>
        <w:numPr>
          <w:ilvl w:val="0"/>
          <w:numId w:val="2"/>
        </w:numPr>
        <w:spacing w:after="100"/>
      </w:pPr>
      <w:r>
        <w:t xml:space="preserve">Persistence (Stages 1–2): ≥ 70% bit integrity AND ≥ 3:1 signal-to-noise ratio after 24 hours, measured against an unstimulated control — the same pass threshold used throughout the computational work, so lab results are directly comparable to the simulations already run.</w:t>
      </w:r>
    </w:p>
    <w:p>
      <w:pPr>
        <w:pStyle w:val="ListParagraph"/>
        <w:numPr>
          <w:ilvl w:val="0"/>
          <w:numId w:val="2"/>
        </w:numPr>
        <w:spacing w:after="100"/>
      </w:pPr>
      <w:r>
        <w:t xml:space="preserve">Cycle stability (Stage 2/3): fidelity does not measurably decay over repeated write → hold → handoff cycles.</w:t>
      </w:r>
    </w:p>
    <w:p>
      <w:pPr>
        <w:pStyle w:val="ListParagraph"/>
        <w:numPr>
          <w:ilvl w:val="0"/>
          <w:numId w:val="2"/>
        </w:numPr>
        <w:spacing w:after="100"/>
      </w:pPr>
      <w:r>
        <w:t xml:space="preserve">A clean negative result at any stage is treated as a genuine, valuable outcome: it rules out an approach quickly and cheaply, and redirects the next $ toward a better one instead of continuing to fund an untested assumption.</w:t>
      </w:r>
    </w:p>
    <w:p>
      <w:pPr>
        <w:pStyle w:val="Heading1"/>
        <w:spacing w:after="160" w:before="360"/>
      </w:pPr>
      <w:r>
        <w:t xml:space="preserve">6. Honest Risk Disclosure</w:t>
      </w:r>
    </w:p>
    <w:p>
      <w:pPr>
        <w:spacing w:after="160"/>
      </w:pPr>
      <w:r>
        <w:t xml:space="preserve">What we can currently claim, and only this:</w:t>
      </w:r>
    </w:p>
    <w:p>
      <w:pPr>
        <w:pStyle w:val="ListParagraph"/>
        <w:numPr>
          <w:ilvl w:val="0"/>
          <w:numId w:val="2"/>
        </w:numPr>
        <w:spacing w:after="100"/>
      </w:pPr>
      <w:r>
        <w:t xml:space="preserve">We have demonstrated in simulation that bioelectric voltage patterns can persist 24+ hours in a gap-junction-coupled tissue model, provided a sufficiently strong engineered bistable mechanism is present — physics-based modeling grounded in published bioelectricity literature.</w:t>
      </w:r>
    </w:p>
    <w:p>
      <w:pPr>
        <w:pStyle w:val="ListParagraph"/>
        <w:numPr>
          <w:ilvl w:val="0"/>
          <w:numId w:val="2"/>
        </w:numPr>
        <w:spacing w:after="100"/>
      </w:pPr>
      <w:r>
        <w:t xml:space="preserve">We have designed a specific, buildable genetic circuit from free, real, characterized parts, and identified a concrete design constraint (promoter matching) that a working version must satisfy.</w:t>
      </w:r>
    </w:p>
    <w:p>
      <w:pPr>
        <w:pStyle w:val="ListParagraph"/>
        <w:numPr>
          <w:ilvl w:val="0"/>
          <w:numId w:val="2"/>
        </w:numPr>
        <w:spacing w:after="100"/>
      </w:pPr>
      <w:r>
        <w:t xml:space="preserve">We have identified a real, unclaimed gap in the literature: no one has published an engineered digital memory system built on bioelectric state, in any organism.</w:t>
      </w:r>
    </w:p>
    <w:p>
      <w:pPr>
        <w:spacing w:after="160"/>
      </w:pPr>
      <w:r>
        <w:t xml:space="preserve">What we cannot yet claim:</w:t>
      </w:r>
    </w:p>
    <w:p>
      <w:pPr>
        <w:pStyle w:val="ListParagraph"/>
        <w:numPr>
          <w:ilvl w:val="0"/>
          <w:numId w:val="2"/>
        </w:numPr>
        <w:spacing w:after="100"/>
      </w:pPr>
      <w:r>
        <w:t xml:space="preserve">That bioelectric memory works in living tissue — only that we've designed the specific experiments to test it.</w:t>
      </w:r>
    </w:p>
    <w:p>
      <w:pPr>
        <w:pStyle w:val="ListParagraph"/>
        <w:numPr>
          <w:ilvl w:val="0"/>
          <w:numId w:val="2"/>
        </w:numPr>
        <w:spacing w:after="100"/>
      </w:pPr>
      <w:r>
        <w:t xml:space="preserve">That arbitrary (non-natural) data patterns persist the same way naturally-evolved morphogenetic patterns do — this is the literature's most important open question, not an established fact we're building on.</w:t>
      </w:r>
    </w:p>
    <w:p>
      <w:pPr>
        <w:pStyle w:val="ListParagraph"/>
        <w:numPr>
          <w:ilvl w:val="0"/>
          <w:numId w:val="2"/>
        </w:numPr>
        <w:spacing w:after="100"/>
      </w:pPr>
      <w:r>
        <w:t xml:space="preserve">That the circuit-to-voltage interface (Claim B) is achievable at all — it has no prior art in either direction.</w:t>
      </w:r>
    </w:p>
    <w:p>
      <w:pPr>
        <w:spacing w:after="160"/>
      </w:pPr>
      <w:r>
        <w:t xml:space="preserve">This section is included deliberately. A funding request that only lists what could go right is a weaker basis for a scientific partnership than one that shows the reviewer we've already tried to break our own idea.</w:t>
      </w:r>
    </w:p>
    <w:p>
      <w:pPr>
        <w:pStyle w:val="Heading1"/>
        <w:spacing w:after="160" w:before="360"/>
      </w:pPr>
      <w:r>
        <w:t xml:space="preserve">7. Requested Partnerships</w:t>
      </w:r>
    </w:p>
    <w:p>
      <w:pPr>
        <w:spacing w:after="160"/>
      </w:pPr>
      <w:r>
        <w:t xml:space="preserve">The specific expertise this project needs is split across a small number of groups whose own published work this proposal builds directly on:</w:t>
      </w:r>
    </w:p>
    <w:p>
      <w:pPr>
        <w:pStyle w:val="ListParagraph"/>
        <w:numPr>
          <w:ilvl w:val="0"/>
          <w:numId w:val="2"/>
        </w:numPr>
        <w:spacing w:after="100"/>
      </w:pPr>
      <w:r>
        <w:t xml:space="preserve">Long-range bacterial electrical signaling — the Süel lab (UC San Diego), authors of the biofilm potassium-wave signaling work this proposal's Stage 0 design depends on.</w:t>
      </w:r>
    </w:p>
    <w:p>
      <w:pPr>
        <w:pStyle w:val="ListParagraph"/>
        <w:numPr>
          <w:ilvl w:val="0"/>
          <w:numId w:val="2"/>
        </w:numPr>
        <w:spacing w:after="100"/>
      </w:pPr>
      <w:r>
        <w:t xml:space="preserve">Bacillus subtilis synthetic biology parts — the Mascher/Radeck group (LMU Munich / TU Dresden), originators of the Bacillus BioBrick Box used in the circuit design.</w:t>
      </w:r>
    </w:p>
    <w:p>
      <w:pPr>
        <w:pStyle w:val="ListParagraph"/>
        <w:numPr>
          <w:ilvl w:val="0"/>
          <w:numId w:val="2"/>
        </w:numPr>
        <w:spacing w:after="100"/>
      </w:pPr>
      <w:r>
        <w:t xml:space="preserve">Bioelectric regeneration — the Levin Lab (Tufts) and the Wyss Institute (Harvard), for the Stage 2 planarian track. Note: a freedom-to-operate review relative to Levin-lab-adjacent commercial IP (Morphoceuticals) is an open internal item to resolve before this track proceeds to partnership discussions.</w:t>
      </w:r>
    </w:p>
    <w:p>
      <w:pPr>
        <w:spacing w:after="160"/>
      </w:pPr>
      <w:r>
        <w:t xml:space="preserve">We are seeking either direct collaboration (data + credibility in exchange for facilities and expertise) or funding earmarked specifically for Stage 0 and Stage 1, run through an academic core facility or contract research partner.</w:t>
      </w:r>
    </w:p>
    <w:p>
      <w:pPr>
        <w:pStyle w:val="Heading1"/>
        <w:spacing w:after="160" w:before="360"/>
      </w:pPr>
      <w:r>
        <w:t xml:space="preserve">8. Closing</w:t>
      </w:r>
    </w:p>
    <w:p>
      <w:pPr>
        <w:spacing w:after="160"/>
      </w:pPr>
      <w:r>
        <w:t xml:space="preserve">This proposal is deliberately narrow. It does not ask for funding to build a finished product — it asks for funding to answer, quickly and cheaply, whether the core mechanism the entire concept depends on actually exists in living cells. We believe that is the responsible way to spend the next dollar on this project, and the fastest way to find out — for better or worse — whether Acheron is real.</w:t>
      </w:r>
    </w:p>
    <w:p>
      <w:r>
        <w:br w:type="page"/>
      </w:r>
    </w:p>
    <w:p>
      <w:pPr>
        <w:pStyle w:val="Heading1"/>
        <w:spacing w:after="160" w:before="360"/>
      </w:pPr>
      <w:r>
        <w:t xml:space="preserve">References</w:t>
      </w:r>
    </w:p>
    <w:p>
      <w:pPr>
        <w:spacing w:after="160"/>
      </w:pPr>
      <w:r>
        <w:t xml:space="preserve">1. </w:t>
      </w:r>
      <w:r>
        <w:t xml:space="preserve">Manicka, S. &amp; Levin, M. (2019). Modeling somatic computation with non-neural bioelectric networks. Scientific Reports, 9, 18612. </w:t>
      </w:r>
      <w:hyperlink w:history="1" r:id="rIdp0ujvavhqqba--fwxki3n">
        <w:r>
          <w:rPr>
            <w:rStyle w:val="Hyperlink"/>
          </w:rPr>
          <w:t xml:space="preserve">https://doi.org/10.1038/s41598-019-54859-8</w:t>
        </w:r>
      </w:hyperlink>
    </w:p>
    <w:p>
      <w:pPr>
        <w:spacing w:after="160"/>
      </w:pPr>
      <w:r>
        <w:t xml:space="preserve">2. </w:t>
      </w:r>
      <w:r>
        <w:t xml:space="preserve">Mathews, J. &amp; Levin, M. (2016). Gap junctional signaling in pattern regulation: Physiological network connectivity instructs growth and form. Developmental Neurobiology, 77, 643–673. </w:t>
      </w:r>
      <w:hyperlink w:history="1" r:id="rId6dd1e3mtqmpifopbzwmb5">
        <w:r>
          <w:rPr>
            <w:rStyle w:val="Hyperlink"/>
          </w:rPr>
          <w:t xml:space="preserve">https://doi.org/10.1002/dneu.22405</w:t>
        </w:r>
      </w:hyperlink>
    </w:p>
    <w:p>
      <w:pPr>
        <w:spacing w:after="160"/>
      </w:pPr>
      <w:r>
        <w:t xml:space="preserve">3. </w:t>
      </w:r>
      <w:r>
        <w:t xml:space="preserve">Grodstein, J. &amp; Levin, M. (2022). A Computational Approach to Explaining Bioelectrically Induced Persistent, Stochastic Changes of Axial Polarity in Planarian Regeneration. Bioelectricity, 4(1), 18–30. </w:t>
      </w:r>
      <w:hyperlink w:history="1" r:id="rIdqv9cfirpi6nh2pm26ynd1">
        <w:r>
          <w:rPr>
            <w:rStyle w:val="Hyperlink"/>
          </w:rPr>
          <w:t xml:space="preserve">https://doi.org/10.1089/bioe.2021.0036</w:t>
        </w:r>
      </w:hyperlink>
    </w:p>
    <w:p>
      <w:pPr>
        <w:spacing w:after="160"/>
      </w:pPr>
      <w:r>
        <w:t xml:space="preserve">4. </w:t>
      </w:r>
      <w:r>
        <w:t xml:space="preserve">Adams, D.S., Tseng, A.S. &amp; Levin, M. (2013). Light-activation of the Archaerhodopsin H+-pump reverses age-dependent loss of vertebrate regeneration. Biology Open, 2(3), 306–313. </w:t>
      </w:r>
      <w:hyperlink w:history="1" r:id="rIdwslo42g8jzimoryxpluhh">
        <w:r>
          <w:rPr>
            <w:rStyle w:val="Hyperlink"/>
          </w:rPr>
          <w:t xml:space="preserve">https://doi.org/10.1242/bio.20133665</w:t>
        </w:r>
      </w:hyperlink>
    </w:p>
    <w:p>
      <w:pPr>
        <w:spacing w:after="160"/>
      </w:pPr>
      <w:r>
        <w:t xml:space="preserve">5. </w:t>
      </w:r>
      <w:r>
        <w:t xml:space="preserve">Samarasinghe, S. (2022). Collective computational intelligence in biology – Emergence of memory in somatic tissues. Biosystems, 223, 104816. </w:t>
      </w:r>
      <w:hyperlink w:history="1" r:id="rId0uuzdfrq7_ac-dynuvro_">
        <w:r>
          <w:rPr>
            <w:rStyle w:val="Hyperlink"/>
          </w:rPr>
          <w:t xml:space="preserve">https://doi.org/10.1016/j.biosystems.2022.104816</w:t>
        </w:r>
      </w:hyperlink>
    </w:p>
    <w:p>
      <w:pPr>
        <w:spacing w:after="160"/>
      </w:pPr>
      <w:r>
        <w:t xml:space="preserve">6. </w:t>
      </w:r>
      <w:r>
        <w:t xml:space="preserve">Gardner, T.S., Cantor, C.R. &amp; Collins, J.J. (2000). Construction of a genetic toggle switch in Escherichia coli. Nature, 403, 339–342. </w:t>
      </w:r>
      <w:hyperlink w:history="1" r:id="rIdik088tpt9f8ml-htisp7s">
        <w:r>
          <w:rPr>
            <w:rStyle w:val="Hyperlink"/>
          </w:rPr>
          <w:t xml:space="preserve">https://doi.org/10.1038/35002131</w:t>
        </w:r>
      </w:hyperlink>
    </w:p>
    <w:p>
      <w:pPr>
        <w:spacing w:after="160"/>
      </w:pPr>
      <w:r>
        <w:t xml:space="preserve">7. </w:t>
      </w:r>
      <w:r>
        <w:t xml:space="preserve">Prindle, A. et al. (2015). Ion channels enable electrical communication in bacterial communities. Nature, 527, 59–63. </w:t>
      </w:r>
      <w:hyperlink w:history="1" r:id="rIdlstumnwmj2_wkkb7qet4l">
        <w:r>
          <w:rPr>
            <w:rStyle w:val="Hyperlink"/>
          </w:rPr>
          <w:t xml:space="preserve">https://doi.org/10.1038/nature15709</w:t>
        </w:r>
      </w:hyperlink>
    </w:p>
    <w:p>
      <w:pPr>
        <w:spacing w:after="160"/>
      </w:pPr>
      <w:r>
        <w:t xml:space="preserve">8. </w:t>
      </w:r>
      <w:r>
        <w:t xml:space="preserve">Humphries, J. et al. (2017). Species-Independent Attraction to Biofilms through Electrical Signaling. Cell, 168(1-2), 200–209. </w:t>
      </w:r>
      <w:hyperlink w:history="1" r:id="rIduqp0xdcsj2cnkpkrqi4uk">
        <w:r>
          <w:rPr>
            <w:rStyle w:val="Hyperlink"/>
          </w:rPr>
          <w:t xml:space="preserve">https://doi.org/10.1016/j.cell.2016.12.014</w:t>
        </w:r>
      </w:hyperlink>
    </w:p>
    <w:p>
      <w:pPr>
        <w:spacing w:after="160"/>
      </w:pPr>
      <w:r>
        <w:t xml:space="preserve">9. </w:t>
      </w:r>
      <w:r>
        <w:t xml:space="preserve">Radeck, J. et al. (2013). The Bacillus BioBrick Box: generation and evaluation of essential genetic building blocks for standardized work with Bacillus subtilis. Journal of Biological Engineering, 7, 29. </w:t>
      </w:r>
      <w:hyperlink w:history="1" r:id="rIdwfaegr7ax9wravxjrvlad">
        <w:r>
          <w:rPr>
            <w:rStyle w:val="Hyperlink"/>
          </w:rPr>
          <w:t xml:space="preserve">https://doi.org/10.1186/1754-1611-7-29</w:t>
        </w:r>
      </w:hyperlink>
    </w:p>
    <w:p>
      <w:pPr>
        <w:spacing w:after="160"/>
      </w:pPr>
      <w:r>
        <w:t xml:space="preserve">10. </w:t>
      </w:r>
      <w:r>
        <w:t xml:space="preserve">Radeck, J. et al. (2017). The Bacillus BioBrick Box 2.0: expanding the genetic toolbox for the standardized work with Bacillus subtilis. Scientific Reports, 7, 15058. </w:t>
      </w:r>
      <w:hyperlink w:history="1" r:id="rIdbsgw-ozdivwqosetj5hyk">
        <w:r>
          <w:rPr>
            <w:rStyle w:val="Hyperlink"/>
          </w:rPr>
          <w:t xml:space="preserve">https://doi.org/10.1038/s41598-017-15107-z</w:t>
        </w:r>
      </w:hyperlink>
    </w:p>
    <w:p>
      <w:pPr>
        <w:spacing w:after="200"/>
      </w:pPr>
    </w:p>
    <w:p>
      <w:pPr>
        <w:spacing w:after="200"/>
      </w:pPr>
      <w:r>
        <w:rPr>
          <w:i/>
          <w:iCs/>
          <w:color w:val="666666"/>
          <w:sz w:val="18"/>
          <w:szCs w:val="18"/>
        </w:rPr>
        <w:t xml:space="preserve">All findings attributed to PubMed-indexed literature above were retrieved via the National Library of Medicine's PubMed database. Simulation results referenced throughout are original computational work performed for this project; source code is available on request.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0ujvavhqqba--fwxki3n" Type="http://schemas.openxmlformats.org/officeDocument/2006/relationships/hyperlink" Target="https://doi.org/10.1038/s41598-019-54859-8" TargetMode="External"/><Relationship Id="rId6dd1e3mtqmpifopbzwmb5" Type="http://schemas.openxmlformats.org/officeDocument/2006/relationships/hyperlink" Target="https://doi.org/10.1002/dneu.22405" TargetMode="External"/><Relationship Id="rIdqv9cfirpi6nh2pm26ynd1" Type="http://schemas.openxmlformats.org/officeDocument/2006/relationships/hyperlink" Target="https://doi.org/10.1089/bioe.2021.0036" TargetMode="External"/><Relationship Id="rIdwslo42g8jzimoryxpluhh" Type="http://schemas.openxmlformats.org/officeDocument/2006/relationships/hyperlink" Target="https://doi.org/10.1242/bio.20133665" TargetMode="External"/><Relationship Id="rId0uuzdfrq7_ac-dynuvro_" Type="http://schemas.openxmlformats.org/officeDocument/2006/relationships/hyperlink" Target="https://doi.org/10.1016/j.biosystems.2022.104816" TargetMode="External"/><Relationship Id="rIdik088tpt9f8ml-htisp7s" Type="http://schemas.openxmlformats.org/officeDocument/2006/relationships/hyperlink" Target="https://doi.org/10.1038/35002131" TargetMode="External"/><Relationship Id="rIdlstumnwmj2_wkkb7qet4l" Type="http://schemas.openxmlformats.org/officeDocument/2006/relationships/hyperlink" Target="https://doi.org/10.1038/nature15709" TargetMode="External"/><Relationship Id="rIduqp0xdcsj2cnkpkrqi4uk" Type="http://schemas.openxmlformats.org/officeDocument/2006/relationships/hyperlink" Target="https://doi.org/10.1016/j.cell.2016.12.014" TargetMode="External"/><Relationship Id="rIdwfaegr7ax9wravxjrvlad" Type="http://schemas.openxmlformats.org/officeDocument/2006/relationships/hyperlink" Target="https://doi.org/10.1186/1754-1611-7-29" TargetMode="External"/><Relationship Id="rIdbsgw-ozdivwqosetj5hyk" Type="http://schemas.openxmlformats.org/officeDocument/2006/relationships/hyperlink" Target="https://doi.org/10.1038/s41598-017-15107-z"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2026-08-16T00:10:31.142Z</dcterms:created>
  <dcterms:modified xsi:type="dcterms:W3CDTF">2026-08-16T00:10:31.142Z</dcterms:modified>
</cp:coreProperties>
</file>

<file path=docProps/custom.xml><?xml version="1.0" encoding="utf-8"?>
<Properties xmlns="http://schemas.openxmlformats.org/officeDocument/2006/custom-properties" xmlns:vt="http://schemas.openxmlformats.org/officeDocument/2006/docPropsVTypes"/>
</file>