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Фаза 1 Выбор концепции программного проекта</w:t>
      </w:r>
    </w:p>
    <w:p>
      <w:r>
        <w:t>Четыре концепции сопоставлены методами нечёткого коллективного TOPSIS и чёткого коллективного МАИ. По обоим методам первое место занял сервис регистрации на студенческие события.</w:t>
      </w:r>
    </w:p>
    <w:p>
      <w:pPr>
        <w:pStyle w:val="Small"/>
      </w:pPr>
      <w:r>
        <w:t>Расчёт основан на четырёх сценарных профилях M1–M4. Эти оценки заданы без индивидуального опроса участников команды. Учёт работ вынесен на отдельную доску YouGile.</w:t>
      </w:r>
    </w:p>
    <w:p>
      <w:pPr>
        <w:pStyle w:val="Heading1"/>
      </w:pPr>
      <w:r>
        <w:t>1 Концепции</w:t>
      </w:r>
    </w:p>
    <w:tbl>
      <w:tblPr>
        <w:tblStyle w:val="TableGrid"/>
        <w:tblW w:type="auto" w:w="0"/>
        <w:jc w:val="center"/>
        <w:tblLook w:firstColumn="1" w:firstRow="1" w:lastColumn="0" w:lastRow="0" w:noHBand="0" w:noVBand="1" w:val="04A0"/>
      </w:tblPr>
      <w:tblGrid>
        <w:gridCol w:w="3312"/>
        <w:gridCol w:w="3312"/>
        <w:gridCol w:w="3312"/>
      </w:tblGrid>
      <w:tr>
        <w:tc>
          <w:tcPr>
            <w:tcW w:type="dxa" w:w="792"/>
            <w:shd w:fill="E8EDF2"/>
            <w:vAlign w:val="center"/>
            <w:tcMar>
              <w:top w:w="90" w:type="dxa"/>
              <w:start w:w="110" w:type="dxa"/>
              <w:bottom w:w="90" w:type="dxa"/>
              <w:end w:w="110" w:type="dxa"/>
            </w:tcMar>
          </w:tcPr>
          <w:p>
            <w:pPr>
              <w:spacing w:after="0"/>
            </w:pPr>
            <w:r>
              <w:rPr>
                <w:b/>
                <w:sz w:val="18"/>
              </w:rPr>
              <w:t>Код</w:t>
            </w:r>
          </w:p>
        </w:tc>
        <w:tc>
          <w:tcPr>
            <w:tcW w:type="dxa" w:w="2952"/>
            <w:shd w:fill="E8EDF2"/>
            <w:vAlign w:val="center"/>
            <w:tcMar>
              <w:top w:w="90" w:type="dxa"/>
              <w:start w:w="110" w:type="dxa"/>
              <w:bottom w:w="90" w:type="dxa"/>
              <w:end w:w="110" w:type="dxa"/>
            </w:tcMar>
          </w:tcPr>
          <w:p>
            <w:pPr>
              <w:spacing w:after="0"/>
            </w:pPr>
            <w:r>
              <w:rPr>
                <w:b/>
                <w:sz w:val="18"/>
              </w:rPr>
              <w:t>Концепция</w:t>
            </w:r>
          </w:p>
        </w:tc>
        <w:tc>
          <w:tcPr>
            <w:tcW w:type="dxa" w:w="6120"/>
            <w:shd w:fill="E8EDF2"/>
            <w:vAlign w:val="center"/>
            <w:tcMar>
              <w:top w:w="90" w:type="dxa"/>
              <w:start w:w="110" w:type="dxa"/>
              <w:bottom w:w="90" w:type="dxa"/>
              <w:end w:w="110" w:type="dxa"/>
            </w:tcMar>
          </w:tcPr>
          <w:p>
            <w:pPr>
              <w:spacing w:after="0"/>
            </w:pPr>
            <w:r>
              <w:rPr>
                <w:b/>
                <w:sz w:val="18"/>
              </w:rPr>
              <w:t>Описание и граница MVP</w:t>
            </w:r>
          </w:p>
        </w:tc>
      </w:tr>
      <w:tr>
        <w:tc>
          <w:tcPr>
            <w:tcW w:type="dxa" w:w="792"/>
            <w:vAlign w:val="center"/>
            <w:tcMar>
              <w:top w:w="90" w:type="dxa"/>
              <w:start w:w="110" w:type="dxa"/>
              <w:bottom w:w="90" w:type="dxa"/>
              <w:end w:w="110" w:type="dxa"/>
            </w:tcMar>
          </w:tcPr>
          <w:p>
            <w:pPr>
              <w:spacing w:after="0"/>
            </w:pPr>
            <w:r>
              <w:rPr>
                <w:sz w:val="18"/>
              </w:rPr>
              <w:t>A1</w:t>
            </w:r>
          </w:p>
        </w:tc>
        <w:tc>
          <w:tcPr>
            <w:tcW w:type="dxa" w:w="2952"/>
            <w:vAlign w:val="center"/>
            <w:tcMar>
              <w:top w:w="90" w:type="dxa"/>
              <w:start w:w="110" w:type="dxa"/>
              <w:bottom w:w="90" w:type="dxa"/>
              <w:end w:w="110" w:type="dxa"/>
            </w:tcMar>
          </w:tcPr>
          <w:p>
            <w:pPr>
              <w:spacing w:after="0"/>
            </w:pPr>
            <w:r>
              <w:rPr>
                <w:sz w:val="18"/>
              </w:rPr>
              <w:t>Бронирование учебных помещений</w:t>
            </w:r>
          </w:p>
        </w:tc>
        <w:tc>
          <w:tcPr>
            <w:tcW w:type="dxa" w:w="6120"/>
            <w:vAlign w:val="center"/>
            <w:tcMar>
              <w:top w:w="90" w:type="dxa"/>
              <w:start w:w="110" w:type="dxa"/>
              <w:bottom w:w="90" w:type="dxa"/>
              <w:end w:w="110" w:type="dxa"/>
            </w:tcMar>
          </w:tcPr>
          <w:p>
            <w:pPr>
              <w:spacing w:after="0"/>
            </w:pPr>
            <w:r>
              <w:rPr>
                <w:sz w:val="18"/>
              </w:rPr>
              <w:t>Веб сервис для поиска свободных аудиторий и записи на групповые занятия. Роли: студент и администратор. Граница MVP: внутренние помещения одного кампуса.</w:t>
            </w:r>
          </w:p>
        </w:tc>
      </w:tr>
      <w:tr>
        <w:tc>
          <w:tcPr>
            <w:tcW w:type="dxa" w:w="792"/>
            <w:vAlign w:val="center"/>
            <w:tcMar>
              <w:top w:w="90" w:type="dxa"/>
              <w:start w:w="110" w:type="dxa"/>
              <w:bottom w:w="90" w:type="dxa"/>
              <w:end w:w="110" w:type="dxa"/>
            </w:tcMar>
          </w:tcPr>
          <w:p>
            <w:pPr>
              <w:spacing w:after="0"/>
            </w:pPr>
            <w:r>
              <w:rPr>
                <w:sz w:val="18"/>
              </w:rPr>
              <w:t>A2</w:t>
            </w:r>
          </w:p>
        </w:tc>
        <w:tc>
          <w:tcPr>
            <w:tcW w:type="dxa" w:w="2952"/>
            <w:vAlign w:val="center"/>
            <w:tcMar>
              <w:top w:w="90" w:type="dxa"/>
              <w:start w:w="110" w:type="dxa"/>
              <w:bottom w:w="90" w:type="dxa"/>
              <w:end w:w="110" w:type="dxa"/>
            </w:tcMar>
          </w:tcPr>
          <w:p>
            <w:pPr>
              <w:spacing w:after="0"/>
            </w:pPr>
            <w:r>
              <w:rPr>
                <w:sz w:val="18"/>
              </w:rPr>
              <w:t>Планирование учебных групп</w:t>
            </w:r>
          </w:p>
        </w:tc>
        <w:tc>
          <w:tcPr>
            <w:tcW w:type="dxa" w:w="6120"/>
            <w:vAlign w:val="center"/>
            <w:tcMar>
              <w:top w:w="90" w:type="dxa"/>
              <w:start w:w="110" w:type="dxa"/>
              <w:bottom w:w="90" w:type="dxa"/>
              <w:end w:w="110" w:type="dxa"/>
            </w:tcMar>
          </w:tcPr>
          <w:p>
            <w:pPr>
              <w:spacing w:after="0"/>
            </w:pPr>
            <w:r>
              <w:rPr>
                <w:sz w:val="18"/>
              </w:rPr>
              <w:t>Веб сервис, где студенты создают группы подготовки, согласуют встречи и ведут общий список тем. Роли: участник и организатор. Граница MVP: один вуз, без видеосвязи.</w:t>
            </w:r>
          </w:p>
        </w:tc>
      </w:tr>
      <w:tr>
        <w:tc>
          <w:tcPr>
            <w:tcW w:type="dxa" w:w="792"/>
            <w:vAlign w:val="center"/>
            <w:tcMar>
              <w:top w:w="90" w:type="dxa"/>
              <w:start w:w="110" w:type="dxa"/>
              <w:bottom w:w="90" w:type="dxa"/>
              <w:end w:w="110" w:type="dxa"/>
            </w:tcMar>
          </w:tcPr>
          <w:p>
            <w:pPr>
              <w:spacing w:after="0"/>
            </w:pPr>
            <w:r>
              <w:rPr>
                <w:sz w:val="18"/>
              </w:rPr>
              <w:t>A3</w:t>
            </w:r>
          </w:p>
        </w:tc>
        <w:tc>
          <w:tcPr>
            <w:tcW w:type="dxa" w:w="2952"/>
            <w:vAlign w:val="center"/>
            <w:tcMar>
              <w:top w:w="90" w:type="dxa"/>
              <w:start w:w="110" w:type="dxa"/>
              <w:bottom w:w="90" w:type="dxa"/>
              <w:end w:w="110" w:type="dxa"/>
            </w:tcMar>
          </w:tcPr>
          <w:p>
            <w:pPr>
              <w:spacing w:after="0"/>
            </w:pPr>
            <w:r>
              <w:rPr>
                <w:sz w:val="18"/>
              </w:rPr>
              <w:t>Регистрация на студенческие события</w:t>
            </w:r>
          </w:p>
        </w:tc>
        <w:tc>
          <w:tcPr>
            <w:tcW w:type="dxa" w:w="6120"/>
            <w:vAlign w:val="center"/>
            <w:tcMar>
              <w:top w:w="90" w:type="dxa"/>
              <w:start w:w="110" w:type="dxa"/>
              <w:bottom w:w="90" w:type="dxa"/>
              <w:end w:w="110" w:type="dxa"/>
            </w:tcMar>
          </w:tcPr>
          <w:p>
            <w:pPr>
              <w:spacing w:after="0"/>
            </w:pPr>
            <w:r>
              <w:rPr>
                <w:sz w:val="18"/>
              </w:rPr>
              <w:t>Веб сервис публикации событий, регистрации участников и учёта посещений. Роли: участник и организатор. Граница MVP: события одного факультета, без платежей.</w:t>
            </w:r>
          </w:p>
        </w:tc>
      </w:tr>
      <w:tr>
        <w:tc>
          <w:tcPr>
            <w:tcW w:type="dxa" w:w="792"/>
            <w:vAlign w:val="center"/>
            <w:tcMar>
              <w:top w:w="90" w:type="dxa"/>
              <w:start w:w="110" w:type="dxa"/>
              <w:bottom w:w="90" w:type="dxa"/>
              <w:end w:w="110" w:type="dxa"/>
            </w:tcMar>
          </w:tcPr>
          <w:p>
            <w:pPr>
              <w:spacing w:after="0"/>
            </w:pPr>
            <w:r>
              <w:rPr>
                <w:sz w:val="18"/>
              </w:rPr>
              <w:t>A4</w:t>
            </w:r>
          </w:p>
        </w:tc>
        <w:tc>
          <w:tcPr>
            <w:tcW w:type="dxa" w:w="2952"/>
            <w:vAlign w:val="center"/>
            <w:tcMar>
              <w:top w:w="90" w:type="dxa"/>
              <w:start w:w="110" w:type="dxa"/>
              <w:bottom w:w="90" w:type="dxa"/>
              <w:end w:w="110" w:type="dxa"/>
            </w:tcMar>
          </w:tcPr>
          <w:p>
            <w:pPr>
              <w:spacing w:after="0"/>
            </w:pPr>
            <w:r>
              <w:rPr>
                <w:sz w:val="18"/>
              </w:rPr>
              <w:t>Расписание волонтёрских смен</w:t>
            </w:r>
          </w:p>
        </w:tc>
        <w:tc>
          <w:tcPr>
            <w:tcW w:type="dxa" w:w="6120"/>
            <w:vAlign w:val="center"/>
            <w:tcMar>
              <w:top w:w="90" w:type="dxa"/>
              <w:start w:w="110" w:type="dxa"/>
              <w:bottom w:w="90" w:type="dxa"/>
              <w:end w:w="110" w:type="dxa"/>
            </w:tcMar>
          </w:tcPr>
          <w:p>
            <w:pPr>
              <w:spacing w:after="0"/>
            </w:pPr>
            <w:r>
              <w:rPr>
                <w:sz w:val="18"/>
              </w:rPr>
              <w:t>Веб сервис для публикации смен, записи волонтёров и контроля покрытия. Роли: волонтёр и координатор. Граница MVP: одна организация, без расчёта вознаграждений.</w:t>
            </w:r>
          </w:p>
        </w:tc>
      </w:tr>
    </w:tbl>
    <w:p/>
    <w:p>
      <w:r>
        <w:t>Для каждой концепции можно выделить 10–12 отдельных Use Cases в Фазе 3. Границы MVP включают пользовательские действия, уведомления и административные операции, но исключают платежи, видеосвязь и внешние интеграции.</w:t>
      </w:r>
    </w:p>
    <w:p>
      <w:pPr>
        <w:pStyle w:val="Heading1"/>
      </w:pPr>
      <w:r>
        <w:t>2 Критерии выбора</w:t>
      </w:r>
    </w:p>
    <w:tbl>
      <w:tblPr>
        <w:tblStyle w:val="TableGrid"/>
        <w:tblW w:type="auto" w:w="0"/>
        <w:jc w:val="center"/>
        <w:tblLook w:firstColumn="1" w:firstRow="1" w:lastColumn="0" w:lastRow="0" w:noHBand="0" w:noVBand="1" w:val="04A0"/>
      </w:tblPr>
      <w:tblGrid>
        <w:gridCol w:w="3312"/>
        <w:gridCol w:w="3312"/>
        <w:gridCol w:w="3312"/>
      </w:tblGrid>
      <w:tr>
        <w:tc>
          <w:tcPr>
            <w:tcW w:type="dxa" w:w="792"/>
            <w:shd w:fill="E8EDF2"/>
            <w:vAlign w:val="center"/>
            <w:tcMar>
              <w:top w:w="90" w:type="dxa"/>
              <w:start w:w="110" w:type="dxa"/>
              <w:bottom w:w="90" w:type="dxa"/>
              <w:end w:w="110" w:type="dxa"/>
            </w:tcMar>
          </w:tcPr>
          <w:p>
            <w:pPr>
              <w:spacing w:after="0"/>
            </w:pPr>
            <w:r>
              <w:rPr>
                <w:b/>
                <w:sz w:val="18"/>
              </w:rPr>
              <w:t>Код</w:t>
            </w:r>
          </w:p>
        </w:tc>
        <w:tc>
          <w:tcPr>
            <w:tcW w:type="dxa" w:w="2520"/>
            <w:shd w:fill="E8EDF2"/>
            <w:vAlign w:val="center"/>
            <w:tcMar>
              <w:top w:w="90" w:type="dxa"/>
              <w:start w:w="110" w:type="dxa"/>
              <w:bottom w:w="90" w:type="dxa"/>
              <w:end w:w="110" w:type="dxa"/>
            </w:tcMar>
          </w:tcPr>
          <w:p>
            <w:pPr>
              <w:spacing w:after="0"/>
            </w:pPr>
            <w:r>
              <w:rPr>
                <w:b/>
                <w:sz w:val="18"/>
              </w:rPr>
              <w:t>Критерий</w:t>
            </w:r>
          </w:p>
        </w:tc>
        <w:tc>
          <w:tcPr>
            <w:tcW w:type="dxa" w:w="6552"/>
            <w:shd w:fill="E8EDF2"/>
            <w:vAlign w:val="center"/>
            <w:tcMar>
              <w:top w:w="90" w:type="dxa"/>
              <w:start w:w="110" w:type="dxa"/>
              <w:bottom w:w="90" w:type="dxa"/>
              <w:end w:w="110" w:type="dxa"/>
            </w:tcMar>
          </w:tcPr>
          <w:p>
            <w:pPr>
              <w:spacing w:after="0"/>
            </w:pPr>
            <w:r>
              <w:rPr>
                <w:b/>
                <w:sz w:val="18"/>
              </w:rPr>
              <w:t>Операционное толкование</w:t>
            </w:r>
          </w:p>
        </w:tc>
      </w:tr>
      <w:tr>
        <w:tc>
          <w:tcPr>
            <w:tcW w:type="dxa" w:w="792"/>
            <w:vAlign w:val="center"/>
            <w:tcMar>
              <w:top w:w="90" w:type="dxa"/>
              <w:start w:w="110" w:type="dxa"/>
              <w:bottom w:w="90" w:type="dxa"/>
              <w:end w:w="110" w:type="dxa"/>
            </w:tcMar>
          </w:tcPr>
          <w:p>
            <w:pPr>
              <w:spacing w:after="0"/>
            </w:pPr>
            <w:r>
              <w:rPr>
                <w:sz w:val="18"/>
              </w:rPr>
              <w:t>C1</w:t>
            </w:r>
          </w:p>
        </w:tc>
        <w:tc>
          <w:tcPr>
            <w:tcW w:type="dxa" w:w="2520"/>
            <w:vAlign w:val="center"/>
            <w:tcMar>
              <w:top w:w="90" w:type="dxa"/>
              <w:start w:w="110" w:type="dxa"/>
              <w:bottom w:w="90" w:type="dxa"/>
              <w:end w:w="110" w:type="dxa"/>
            </w:tcMar>
          </w:tcPr>
          <w:p>
            <w:pPr>
              <w:spacing w:after="0"/>
            </w:pPr>
            <w:r>
              <w:rPr>
                <w:sz w:val="18"/>
              </w:rPr>
              <w:t>Полезность для целевых пользователей</w:t>
            </w:r>
          </w:p>
        </w:tc>
        <w:tc>
          <w:tcPr>
            <w:tcW w:type="dxa" w:w="6552"/>
            <w:vAlign w:val="center"/>
            <w:tcMar>
              <w:top w:w="90" w:type="dxa"/>
              <w:start w:w="110" w:type="dxa"/>
              <w:bottom w:w="90" w:type="dxa"/>
              <w:end w:w="110" w:type="dxa"/>
            </w:tcMar>
          </w:tcPr>
          <w:p>
            <w:pPr>
              <w:spacing w:after="0"/>
            </w:pPr>
            <w:r>
              <w:rPr>
                <w:sz w:val="18"/>
              </w:rPr>
              <w:t>Насколько концепция решает заметную повседневную задачу. Больше — лучше.</w:t>
            </w:r>
          </w:p>
        </w:tc>
      </w:tr>
      <w:tr>
        <w:tc>
          <w:tcPr>
            <w:tcW w:type="dxa" w:w="792"/>
            <w:vAlign w:val="center"/>
            <w:tcMar>
              <w:top w:w="90" w:type="dxa"/>
              <w:start w:w="110" w:type="dxa"/>
              <w:bottom w:w="90" w:type="dxa"/>
              <w:end w:w="110" w:type="dxa"/>
            </w:tcMar>
          </w:tcPr>
          <w:p>
            <w:pPr>
              <w:spacing w:after="0"/>
            </w:pPr>
            <w:r>
              <w:rPr>
                <w:sz w:val="18"/>
              </w:rPr>
              <w:t>C2</w:t>
            </w:r>
          </w:p>
        </w:tc>
        <w:tc>
          <w:tcPr>
            <w:tcW w:type="dxa" w:w="2520"/>
            <w:vAlign w:val="center"/>
            <w:tcMar>
              <w:top w:w="90" w:type="dxa"/>
              <w:start w:w="110" w:type="dxa"/>
              <w:bottom w:w="90" w:type="dxa"/>
              <w:end w:w="110" w:type="dxa"/>
            </w:tcMar>
          </w:tcPr>
          <w:p>
            <w:pPr>
              <w:spacing w:after="0"/>
            </w:pPr>
            <w:r>
              <w:rPr>
                <w:sz w:val="18"/>
              </w:rPr>
              <w:t>Реализуемость MVP</w:t>
            </w:r>
          </w:p>
        </w:tc>
        <w:tc>
          <w:tcPr>
            <w:tcW w:type="dxa" w:w="6552"/>
            <w:vAlign w:val="center"/>
            <w:tcMar>
              <w:top w:w="90" w:type="dxa"/>
              <w:start w:w="110" w:type="dxa"/>
              <w:bottom w:w="90" w:type="dxa"/>
              <w:end w:w="110" w:type="dxa"/>
            </w:tcMar>
          </w:tcPr>
          <w:p>
            <w:pPr>
              <w:spacing w:after="0"/>
            </w:pPr>
            <w:r>
              <w:rPr>
                <w:sz w:val="18"/>
              </w:rPr>
              <w:t>Насколько реально реализовать базовый продукт небольшой учебной командой. Больше — лучше.</w:t>
            </w:r>
          </w:p>
        </w:tc>
      </w:tr>
      <w:tr>
        <w:tc>
          <w:tcPr>
            <w:tcW w:type="dxa" w:w="792"/>
            <w:vAlign w:val="center"/>
            <w:tcMar>
              <w:top w:w="90" w:type="dxa"/>
              <w:start w:w="110" w:type="dxa"/>
              <w:bottom w:w="90" w:type="dxa"/>
              <w:end w:w="110" w:type="dxa"/>
            </w:tcMar>
          </w:tcPr>
          <w:p>
            <w:pPr>
              <w:spacing w:after="0"/>
            </w:pPr>
            <w:r>
              <w:rPr>
                <w:sz w:val="18"/>
              </w:rPr>
              <w:t>C3</w:t>
            </w:r>
          </w:p>
        </w:tc>
        <w:tc>
          <w:tcPr>
            <w:tcW w:type="dxa" w:w="2520"/>
            <w:vAlign w:val="center"/>
            <w:tcMar>
              <w:top w:w="90" w:type="dxa"/>
              <w:start w:w="110" w:type="dxa"/>
              <w:bottom w:w="90" w:type="dxa"/>
              <w:end w:w="110" w:type="dxa"/>
            </w:tcMar>
          </w:tcPr>
          <w:p>
            <w:pPr>
              <w:spacing w:after="0"/>
            </w:pPr>
            <w:r>
              <w:rPr>
                <w:sz w:val="18"/>
              </w:rPr>
              <w:t>Ясность границ и сценариев</w:t>
            </w:r>
          </w:p>
        </w:tc>
        <w:tc>
          <w:tcPr>
            <w:tcW w:type="dxa" w:w="6552"/>
            <w:vAlign w:val="center"/>
            <w:tcMar>
              <w:top w:w="90" w:type="dxa"/>
              <w:start w:w="110" w:type="dxa"/>
              <w:bottom w:w="90" w:type="dxa"/>
              <w:end w:w="110" w:type="dxa"/>
            </w:tcMar>
          </w:tcPr>
          <w:p>
            <w:pPr>
              <w:spacing w:after="0"/>
            </w:pPr>
            <w:r>
              <w:rPr>
                <w:sz w:val="18"/>
              </w:rPr>
              <w:t>Насколько легко выделить 10–15 самостоятельных Use Cases и оценить их в Фазе 3. Больше — лучше.</w:t>
            </w:r>
          </w:p>
        </w:tc>
      </w:tr>
      <w:tr>
        <w:tc>
          <w:tcPr>
            <w:tcW w:type="dxa" w:w="792"/>
            <w:vAlign w:val="center"/>
            <w:tcMar>
              <w:top w:w="90" w:type="dxa"/>
              <w:start w:w="110" w:type="dxa"/>
              <w:bottom w:w="90" w:type="dxa"/>
              <w:end w:w="110" w:type="dxa"/>
            </w:tcMar>
          </w:tcPr>
          <w:p>
            <w:pPr>
              <w:spacing w:after="0"/>
            </w:pPr>
            <w:r>
              <w:rPr>
                <w:sz w:val="18"/>
              </w:rPr>
              <w:t>C4</w:t>
            </w:r>
          </w:p>
        </w:tc>
        <w:tc>
          <w:tcPr>
            <w:tcW w:type="dxa" w:w="2520"/>
            <w:vAlign w:val="center"/>
            <w:tcMar>
              <w:top w:w="90" w:type="dxa"/>
              <w:start w:w="110" w:type="dxa"/>
              <w:bottom w:w="90" w:type="dxa"/>
              <w:end w:w="110" w:type="dxa"/>
            </w:tcMar>
          </w:tcPr>
          <w:p>
            <w:pPr>
              <w:spacing w:after="0"/>
            </w:pPr>
            <w:r>
              <w:rPr>
                <w:sz w:val="18"/>
              </w:rPr>
              <w:t>Пригодность для планирования</w:t>
            </w:r>
          </w:p>
        </w:tc>
        <w:tc>
          <w:tcPr>
            <w:tcW w:type="dxa" w:w="6552"/>
            <w:vAlign w:val="center"/>
            <w:tcMar>
              <w:top w:w="90" w:type="dxa"/>
              <w:start w:w="110" w:type="dxa"/>
              <w:bottom w:w="90" w:type="dxa"/>
              <w:end w:w="110" w:type="dxa"/>
            </w:tcMar>
          </w:tcPr>
          <w:p>
            <w:pPr>
              <w:spacing w:after="0"/>
            </w:pPr>
            <w:r>
              <w:rPr>
                <w:sz w:val="18"/>
              </w:rPr>
              <w:t>Насколько естественно разложить проект на 20–25 работ с зависимостями и разными ролями в Фазе 5. Больше — лучше.</w:t>
            </w:r>
          </w:p>
        </w:tc>
      </w:tr>
    </w:tbl>
    <w:p/>
    <w:p>
      <w:r>
        <w:t>Все критерии направлены в одну сторону: более высокая оценка предпочтительнее. Это упрощает нормировку в TOPSIS и не меняет смысл сравнения.</w:t>
      </w:r>
    </w:p>
    <w:p>
      <w:r>
        <w:br w:type="page"/>
      </w:r>
    </w:p>
    <w:p>
      <w:pPr>
        <w:pStyle w:val="Heading1"/>
      </w:pPr>
      <w:r>
        <w:t>3 Модельные оценки</w:t>
      </w:r>
    </w:p>
    <w:p>
      <w:r>
        <w:t>Для расчёта заданы четыре различающихся профиля M1–M4: акцент на пользе, запуске, реализуемости и дальнейшем планировании. Каждый профиль имеет собственные оценки важности критериев и альтернатив по шкале 1–9. Для TOPSIS ожидаемое число дополнено осторожной и благоприятной границей: max(1, m−1) ≤ m ≤ min(9, m+1).</w:t>
      </w:r>
    </w:p>
    <w:p>
      <w:r>
        <w:t>Для МАИ отдельно заданы профили предпочтений, из которых построены парные сравнения по шкале Саати 1–9 и обратным значениям. Исходные числа и все промежуточные расчёты приведены на листах книги «Фаза 1 Экспертные оценки.xlsx».</w:t>
      </w:r>
    </w:p>
    <w:p>
      <w:r>
        <w:t>Фактический состав команды — четыре человека. В исходном тексте задания указана группа из трёх человек.</w:t>
      </w:r>
    </w:p>
    <w:p>
      <w:pPr>
        <w:pStyle w:val="Heading1"/>
      </w:pPr>
      <w:r>
        <w:t>4 Метод расчёта</w:t>
      </w:r>
    </w:p>
    <w:p>
      <w:pPr>
        <w:pStyle w:val="Heading2"/>
      </w:pPr>
      <w:r>
        <w:t>Нечёткий коллективный TOPSIS</w:t>
      </w:r>
    </w:p>
    <w:p>
      <w:r>
        <w:t>Три числа каждой оценки образуют треугольное нечёткое число (l, m, u). По каждому элементу берётся покомпонентное среднее оценок экспертов. Оценки альтернатив нормируются по максимальной верхней границе соответствующего критерия. Веса критериев нормируются по сумме их верхних границ. Нормированные оценки покомпонентно умножаются на веса.</w:t>
      </w:r>
    </w:p>
    <w:p>
      <w:r>
        <w:t>Для каждого критерия положительный идеал — покомпонентный максимум взвешенных оценок четырёх концепций, отрицательный — покомпонентный минимум. Расстояние между двумя тройками вычисляется как корень из среднего квадратов трёх разностей. Для каждой концепции суммируются расстояния до двух идеалов; коэффициент близости CC = D− / (D+ + D−). Предпочтителен наибольший CC. Все критерии являются выгодными.</w:t>
      </w:r>
    </w:p>
    <w:p>
      <w:pPr>
        <w:pStyle w:val="Heading2"/>
      </w:pPr>
      <w:r>
        <w:t>Чёткий коллективный МАИ</w:t>
      </w:r>
    </w:p>
    <w:p>
      <w:r>
        <w:t>Из каждой экспертной анкеты составляются взаимно обратные матрицы парных сравнений: одна 4 × 4 для критериев и четыре 4 × 4 для концепций по отдельным критериям. Групповая оценка каждой пары — геометрическое среднее индивидуальных суждений. Вектор приоритетов каждой групповой матрицы находится методом геометрических средних строк и нормируется до суммы 1. Общий приоритет концепции — сумма её локальных приоритетов, умноженных на веса критериев.</w:t>
      </w:r>
    </w:p>
    <w:p>
      <w:r>
        <w:t>Для каждой матрицы вычислена согласованность: λmax = среднее (Aw)i/wi, CI = (λmax−4)/3, CR = CI/0,90. Во всех пяти групповых матрицах CR меньше порогового значения 0,10. Максимальный общий приоритет определяет первое место по МАИ.</w:t>
      </w:r>
    </w:p>
    <w:p>
      <w:r>
        <w:br w:type="page"/>
      </w:r>
    </w:p>
    <w:p>
      <w:pPr>
        <w:pStyle w:val="Heading1"/>
      </w:pPr>
      <w:r>
        <w:t>5 Результаты сравнения</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960"/>
            <w:shd w:fill="E8EDF2"/>
            <w:vAlign w:val="center"/>
            <w:tcMar>
              <w:top w:w="90" w:type="dxa"/>
              <w:start w:w="110" w:type="dxa"/>
              <w:bottom w:w="90" w:type="dxa"/>
              <w:end w:w="110" w:type="dxa"/>
            </w:tcMar>
          </w:tcPr>
          <w:p>
            <w:pPr>
              <w:spacing w:after="0"/>
            </w:pPr>
            <w:r>
              <w:rPr>
                <w:b/>
                <w:sz w:val="18"/>
              </w:rPr>
              <w:t>Концепция</w:t>
            </w:r>
          </w:p>
        </w:tc>
        <w:tc>
          <w:tcPr>
            <w:tcW w:type="dxa" w:w="1440"/>
            <w:shd w:fill="E8EDF2"/>
            <w:vAlign w:val="center"/>
            <w:tcMar>
              <w:top w:w="90" w:type="dxa"/>
              <w:start w:w="110" w:type="dxa"/>
              <w:bottom w:w="90" w:type="dxa"/>
              <w:end w:w="110" w:type="dxa"/>
            </w:tcMar>
          </w:tcPr>
          <w:p>
            <w:pPr>
              <w:spacing w:after="0"/>
            </w:pPr>
            <w:r>
              <w:rPr>
                <w:b/>
                <w:sz w:val="18"/>
              </w:rPr>
              <w:t>CC TOPSIS</w:t>
            </w:r>
          </w:p>
        </w:tc>
        <w:tc>
          <w:tcPr>
            <w:tcW w:type="dxa" w:w="1440"/>
            <w:shd w:fill="E8EDF2"/>
            <w:vAlign w:val="center"/>
            <w:tcMar>
              <w:top w:w="90" w:type="dxa"/>
              <w:start w:w="110" w:type="dxa"/>
              <w:bottom w:w="90" w:type="dxa"/>
              <w:end w:w="110" w:type="dxa"/>
            </w:tcMar>
          </w:tcPr>
          <w:p>
            <w:pPr>
              <w:spacing w:after="0"/>
            </w:pPr>
            <w:r>
              <w:rPr>
                <w:b/>
                <w:sz w:val="18"/>
              </w:rPr>
              <w:t>Место TOPSIS</w:t>
            </w:r>
          </w:p>
        </w:tc>
        <w:tc>
          <w:tcPr>
            <w:tcW w:type="dxa" w:w="1584"/>
            <w:shd w:fill="E8EDF2"/>
            <w:vAlign w:val="center"/>
            <w:tcMar>
              <w:top w:w="90" w:type="dxa"/>
              <w:start w:w="110" w:type="dxa"/>
              <w:bottom w:w="90" w:type="dxa"/>
              <w:end w:w="110" w:type="dxa"/>
            </w:tcMar>
          </w:tcPr>
          <w:p>
            <w:pPr>
              <w:spacing w:after="0"/>
            </w:pPr>
            <w:r>
              <w:rPr>
                <w:b/>
                <w:sz w:val="18"/>
              </w:rPr>
              <w:t>Приоритет МАИ</w:t>
            </w:r>
          </w:p>
        </w:tc>
        <w:tc>
          <w:tcPr>
            <w:tcW w:type="dxa" w:w="1440"/>
            <w:shd w:fill="E8EDF2"/>
            <w:vAlign w:val="center"/>
            <w:tcMar>
              <w:top w:w="90" w:type="dxa"/>
              <w:start w:w="110" w:type="dxa"/>
              <w:bottom w:w="90" w:type="dxa"/>
              <w:end w:w="110" w:type="dxa"/>
            </w:tcMar>
          </w:tcPr>
          <w:p>
            <w:pPr>
              <w:spacing w:after="0"/>
            </w:pPr>
            <w:r>
              <w:rPr>
                <w:b/>
                <w:sz w:val="18"/>
              </w:rPr>
              <w:t>Место МАИ</w:t>
            </w:r>
          </w:p>
        </w:tc>
      </w:tr>
      <w:tr>
        <w:tc>
          <w:tcPr>
            <w:tcW w:type="dxa" w:w="3960"/>
            <w:vAlign w:val="center"/>
            <w:tcMar>
              <w:top w:w="90" w:type="dxa"/>
              <w:start w:w="110" w:type="dxa"/>
              <w:bottom w:w="90" w:type="dxa"/>
              <w:end w:w="110" w:type="dxa"/>
            </w:tcMar>
          </w:tcPr>
          <w:p>
            <w:pPr>
              <w:spacing w:after="0"/>
            </w:pPr>
            <w:r>
              <w:rPr>
                <w:sz w:val="18"/>
              </w:rPr>
              <w:t>A1 Бронирование учебных помещений</w:t>
            </w:r>
          </w:p>
        </w:tc>
        <w:tc>
          <w:tcPr>
            <w:tcW w:type="dxa" w:w="1440"/>
            <w:vAlign w:val="center"/>
            <w:tcMar>
              <w:top w:w="90" w:type="dxa"/>
              <w:start w:w="110" w:type="dxa"/>
              <w:bottom w:w="90" w:type="dxa"/>
              <w:end w:w="110" w:type="dxa"/>
            </w:tcMar>
          </w:tcPr>
          <w:p>
            <w:pPr>
              <w:spacing w:after="0"/>
            </w:pPr>
            <w:r>
              <w:rPr>
                <w:sz w:val="18"/>
              </w:rPr>
              <w:t>0.3160</w:t>
            </w:r>
          </w:p>
        </w:tc>
        <w:tc>
          <w:tcPr>
            <w:tcW w:type="dxa" w:w="1440"/>
            <w:vAlign w:val="center"/>
            <w:tcMar>
              <w:top w:w="90" w:type="dxa"/>
              <w:start w:w="110" w:type="dxa"/>
              <w:bottom w:w="90" w:type="dxa"/>
              <w:end w:w="110" w:type="dxa"/>
            </w:tcMar>
          </w:tcPr>
          <w:p>
            <w:pPr>
              <w:spacing w:after="0"/>
            </w:pPr>
            <w:r>
              <w:rPr>
                <w:sz w:val="18"/>
              </w:rPr>
              <w:t>4</w:t>
            </w:r>
          </w:p>
        </w:tc>
        <w:tc>
          <w:tcPr>
            <w:tcW w:type="dxa" w:w="1584"/>
            <w:vAlign w:val="center"/>
            <w:tcMar>
              <w:top w:w="90" w:type="dxa"/>
              <w:start w:w="110" w:type="dxa"/>
              <w:bottom w:w="90" w:type="dxa"/>
              <w:end w:w="110" w:type="dxa"/>
            </w:tcMar>
          </w:tcPr>
          <w:p>
            <w:pPr>
              <w:spacing w:after="0"/>
            </w:pPr>
            <w:r>
              <w:rPr>
                <w:sz w:val="18"/>
              </w:rPr>
              <w:t>0.2094</w:t>
            </w:r>
          </w:p>
        </w:tc>
        <w:tc>
          <w:tcPr>
            <w:tcW w:type="dxa" w:w="1440"/>
            <w:vAlign w:val="center"/>
            <w:tcMar>
              <w:top w:w="90" w:type="dxa"/>
              <w:start w:w="110" w:type="dxa"/>
              <w:bottom w:w="90" w:type="dxa"/>
              <w:end w:w="110" w:type="dxa"/>
            </w:tcMar>
          </w:tcPr>
          <w:p>
            <w:pPr>
              <w:spacing w:after="0"/>
            </w:pPr>
            <w:r>
              <w:rPr>
                <w:sz w:val="18"/>
              </w:rPr>
              <w:t>4</w:t>
            </w:r>
          </w:p>
        </w:tc>
      </w:tr>
      <w:tr>
        <w:tc>
          <w:tcPr>
            <w:tcW w:type="dxa" w:w="3960"/>
            <w:vAlign w:val="center"/>
            <w:tcMar>
              <w:top w:w="90" w:type="dxa"/>
              <w:start w:w="110" w:type="dxa"/>
              <w:bottom w:w="90" w:type="dxa"/>
              <w:end w:w="110" w:type="dxa"/>
            </w:tcMar>
          </w:tcPr>
          <w:p>
            <w:pPr>
              <w:spacing w:after="0"/>
            </w:pPr>
            <w:r>
              <w:rPr>
                <w:sz w:val="18"/>
              </w:rPr>
              <w:t>A2 Планирование учебных групп</w:t>
            </w:r>
          </w:p>
        </w:tc>
        <w:tc>
          <w:tcPr>
            <w:tcW w:type="dxa" w:w="1440"/>
            <w:vAlign w:val="center"/>
            <w:tcMar>
              <w:top w:w="90" w:type="dxa"/>
              <w:start w:w="110" w:type="dxa"/>
              <w:bottom w:w="90" w:type="dxa"/>
              <w:end w:w="110" w:type="dxa"/>
            </w:tcMar>
          </w:tcPr>
          <w:p>
            <w:pPr>
              <w:spacing w:after="0"/>
            </w:pPr>
            <w:r>
              <w:rPr>
                <w:sz w:val="18"/>
              </w:rPr>
              <w:t>0.3987</w:t>
            </w:r>
          </w:p>
        </w:tc>
        <w:tc>
          <w:tcPr>
            <w:tcW w:type="dxa" w:w="1440"/>
            <w:vAlign w:val="center"/>
            <w:tcMar>
              <w:top w:w="90" w:type="dxa"/>
              <w:start w:w="110" w:type="dxa"/>
              <w:bottom w:w="90" w:type="dxa"/>
              <w:end w:w="110" w:type="dxa"/>
            </w:tcMar>
          </w:tcPr>
          <w:p>
            <w:pPr>
              <w:spacing w:after="0"/>
            </w:pPr>
            <w:r>
              <w:rPr>
                <w:sz w:val="18"/>
              </w:rPr>
              <w:t>3</w:t>
            </w:r>
          </w:p>
        </w:tc>
        <w:tc>
          <w:tcPr>
            <w:tcW w:type="dxa" w:w="1584"/>
            <w:vAlign w:val="center"/>
            <w:tcMar>
              <w:top w:w="90" w:type="dxa"/>
              <w:start w:w="110" w:type="dxa"/>
              <w:bottom w:w="90" w:type="dxa"/>
              <w:end w:w="110" w:type="dxa"/>
            </w:tcMar>
          </w:tcPr>
          <w:p>
            <w:pPr>
              <w:spacing w:after="0"/>
            </w:pPr>
            <w:r>
              <w:rPr>
                <w:sz w:val="18"/>
              </w:rPr>
              <w:t>0.2278</w:t>
            </w:r>
          </w:p>
        </w:tc>
        <w:tc>
          <w:tcPr>
            <w:tcW w:type="dxa" w:w="1440"/>
            <w:vAlign w:val="center"/>
            <w:tcMar>
              <w:top w:w="90" w:type="dxa"/>
              <w:start w:w="110" w:type="dxa"/>
              <w:bottom w:w="90" w:type="dxa"/>
              <w:end w:w="110" w:type="dxa"/>
            </w:tcMar>
          </w:tcPr>
          <w:p>
            <w:pPr>
              <w:spacing w:after="0"/>
            </w:pPr>
            <w:r>
              <w:rPr>
                <w:sz w:val="18"/>
              </w:rPr>
              <w:t>3</w:t>
            </w:r>
          </w:p>
        </w:tc>
      </w:tr>
      <w:tr>
        <w:tc>
          <w:tcPr>
            <w:tcW w:type="dxa" w:w="3960"/>
            <w:vAlign w:val="center"/>
            <w:tcMar>
              <w:top w:w="90" w:type="dxa"/>
              <w:start w:w="110" w:type="dxa"/>
              <w:bottom w:w="90" w:type="dxa"/>
              <w:end w:w="110" w:type="dxa"/>
            </w:tcMar>
          </w:tcPr>
          <w:p>
            <w:pPr>
              <w:spacing w:after="0"/>
            </w:pPr>
            <w:r>
              <w:rPr>
                <w:sz w:val="18"/>
              </w:rPr>
              <w:t>A3 Регистрация на студенческие события</w:t>
            </w:r>
          </w:p>
        </w:tc>
        <w:tc>
          <w:tcPr>
            <w:tcW w:type="dxa" w:w="1440"/>
            <w:vAlign w:val="center"/>
            <w:tcMar>
              <w:top w:w="90" w:type="dxa"/>
              <w:start w:w="110" w:type="dxa"/>
              <w:bottom w:w="90" w:type="dxa"/>
              <w:end w:w="110" w:type="dxa"/>
            </w:tcMar>
          </w:tcPr>
          <w:p>
            <w:pPr>
              <w:spacing w:after="0"/>
            </w:pPr>
            <w:r>
              <w:rPr>
                <w:sz w:val="18"/>
              </w:rPr>
              <w:t>0.8228</w:t>
            </w:r>
          </w:p>
        </w:tc>
        <w:tc>
          <w:tcPr>
            <w:tcW w:type="dxa" w:w="1440"/>
            <w:vAlign w:val="center"/>
            <w:tcMar>
              <w:top w:w="90" w:type="dxa"/>
              <w:start w:w="110" w:type="dxa"/>
              <w:bottom w:w="90" w:type="dxa"/>
              <w:end w:w="110" w:type="dxa"/>
            </w:tcMar>
          </w:tcPr>
          <w:p>
            <w:pPr>
              <w:spacing w:after="0"/>
            </w:pPr>
            <w:r>
              <w:rPr>
                <w:sz w:val="18"/>
              </w:rPr>
              <w:t>1</w:t>
            </w:r>
          </w:p>
        </w:tc>
        <w:tc>
          <w:tcPr>
            <w:tcW w:type="dxa" w:w="1584"/>
            <w:vAlign w:val="center"/>
            <w:tcMar>
              <w:top w:w="90" w:type="dxa"/>
              <w:start w:w="110" w:type="dxa"/>
              <w:bottom w:w="90" w:type="dxa"/>
              <w:end w:w="110" w:type="dxa"/>
            </w:tcMar>
          </w:tcPr>
          <w:p>
            <w:pPr>
              <w:spacing w:after="0"/>
            </w:pPr>
            <w:r>
              <w:rPr>
                <w:sz w:val="18"/>
              </w:rPr>
              <w:t>0.3012</w:t>
            </w:r>
          </w:p>
        </w:tc>
        <w:tc>
          <w:tcPr>
            <w:tcW w:type="dxa" w:w="1440"/>
            <w:vAlign w:val="center"/>
            <w:tcMar>
              <w:top w:w="90" w:type="dxa"/>
              <w:start w:w="110" w:type="dxa"/>
              <w:bottom w:w="90" w:type="dxa"/>
              <w:end w:w="110" w:type="dxa"/>
            </w:tcMar>
          </w:tcPr>
          <w:p>
            <w:pPr>
              <w:spacing w:after="0"/>
            </w:pPr>
            <w:r>
              <w:rPr>
                <w:sz w:val="18"/>
              </w:rPr>
              <w:t>1</w:t>
            </w:r>
          </w:p>
        </w:tc>
      </w:tr>
      <w:tr>
        <w:tc>
          <w:tcPr>
            <w:tcW w:type="dxa" w:w="3960"/>
            <w:vAlign w:val="center"/>
            <w:tcMar>
              <w:top w:w="90" w:type="dxa"/>
              <w:start w:w="110" w:type="dxa"/>
              <w:bottom w:w="90" w:type="dxa"/>
              <w:end w:w="110" w:type="dxa"/>
            </w:tcMar>
          </w:tcPr>
          <w:p>
            <w:pPr>
              <w:spacing w:after="0"/>
            </w:pPr>
            <w:r>
              <w:rPr>
                <w:sz w:val="18"/>
              </w:rPr>
              <w:t>A4 Расписание волонтёрских смен</w:t>
            </w:r>
          </w:p>
        </w:tc>
        <w:tc>
          <w:tcPr>
            <w:tcW w:type="dxa" w:w="1440"/>
            <w:vAlign w:val="center"/>
            <w:tcMar>
              <w:top w:w="90" w:type="dxa"/>
              <w:start w:w="110" w:type="dxa"/>
              <w:bottom w:w="90" w:type="dxa"/>
              <w:end w:w="110" w:type="dxa"/>
            </w:tcMar>
          </w:tcPr>
          <w:p>
            <w:pPr>
              <w:spacing w:after="0"/>
            </w:pPr>
            <w:r>
              <w:rPr>
                <w:sz w:val="18"/>
              </w:rPr>
              <w:t>0.5794</w:t>
            </w:r>
          </w:p>
        </w:tc>
        <w:tc>
          <w:tcPr>
            <w:tcW w:type="dxa" w:w="1440"/>
            <w:vAlign w:val="center"/>
            <w:tcMar>
              <w:top w:w="90" w:type="dxa"/>
              <w:start w:w="110" w:type="dxa"/>
              <w:bottom w:w="90" w:type="dxa"/>
              <w:end w:w="110" w:type="dxa"/>
            </w:tcMar>
          </w:tcPr>
          <w:p>
            <w:pPr>
              <w:spacing w:after="0"/>
            </w:pPr>
            <w:r>
              <w:rPr>
                <w:sz w:val="18"/>
              </w:rPr>
              <w:t>2</w:t>
            </w:r>
          </w:p>
        </w:tc>
        <w:tc>
          <w:tcPr>
            <w:tcW w:type="dxa" w:w="1584"/>
            <w:vAlign w:val="center"/>
            <w:tcMar>
              <w:top w:w="90" w:type="dxa"/>
              <w:start w:w="110" w:type="dxa"/>
              <w:bottom w:w="90" w:type="dxa"/>
              <w:end w:w="110" w:type="dxa"/>
            </w:tcMar>
          </w:tcPr>
          <w:p>
            <w:pPr>
              <w:spacing w:after="0"/>
            </w:pPr>
            <w:r>
              <w:rPr>
                <w:sz w:val="18"/>
              </w:rPr>
              <w:t>0.2616</w:t>
            </w:r>
          </w:p>
        </w:tc>
        <w:tc>
          <w:tcPr>
            <w:tcW w:type="dxa" w:w="1440"/>
            <w:vAlign w:val="center"/>
            <w:tcMar>
              <w:top w:w="90" w:type="dxa"/>
              <w:start w:w="110" w:type="dxa"/>
              <w:bottom w:w="90" w:type="dxa"/>
              <w:end w:w="110" w:type="dxa"/>
            </w:tcMar>
          </w:tcPr>
          <w:p>
            <w:pPr>
              <w:spacing w:after="0"/>
            </w:pPr>
            <w:r>
              <w:rPr>
                <w:sz w:val="18"/>
              </w:rPr>
              <w:t>2</w:t>
            </w:r>
          </w:p>
        </w:tc>
      </w:tr>
    </w:tbl>
    <w:p/>
    <w:p>
      <w:r>
        <w:t>По обоим методам первое место заняла A3 «Регистрация на студенческие события». TOPSIS: CC = 0,8228; МАИ: приоритет = 0,3012. Далее следуют A4, A2 и A1. У A3 высокий баланс по четырём критериям; A2 сильнее по реализуемости, A4 — по пригодности для планирования.</w:t>
      </w:r>
    </w:p>
    <w:p>
      <w:r>
        <w:t>Согласованность групповых матриц МАИ: CR критериев = 0,0014; CR матриц альтернатив по C1–C4 = 0,0111; 0,0115; 0,0040; 0,0095. Все значения ниже порога 0,10. Исключение по одному из четырёх модельных профилей не меняет порядок альтернатив ни в одном из двух методов.</w:t>
      </w:r>
    </w:p>
    <w:p>
      <w:r>
        <w:t>Полученный порядок относится к заданным сценарным оценкам. Коэффициенты TOPSIS и приоритеты МАИ имеют разные шкалы и сопоставляются по порядку альтернатив, а не по абсолютной величине.</w:t>
      </w:r>
    </w:p>
    <w:p>
      <w:pPr>
        <w:pStyle w:val="Heading1"/>
      </w:pPr>
      <w:r>
        <w:t>6 Учёт работ</w:t>
      </w:r>
    </w:p>
    <w:p>
      <w:r>
        <w:t>Учёт задач, исполнителей, периодов и чистого времени работы вынесен на отдельную доску YouGile: https://ru.yougile.com/board/nb0783gl8x30. Материалы таск-трекера в данном репозитории не дублируются.</w:t>
      </w:r>
    </w:p>
    <w:p>
      <w:pPr>
        <w:pStyle w:val="Heading1"/>
      </w:pPr>
      <w:r>
        <w:t>Источники метода</w:t>
      </w:r>
    </w:p>
    <w:p>
      <w:pPr>
        <w:pStyle w:val="Small"/>
      </w:pPr>
      <w:r>
        <w:t>Chen C.-T. Extensions of the TOPSIS for group decision-making under fuzzy environment. Fuzzy Sets and Systems, 2000. DOI: 10.1016/S0165-0114(97)00377-1. https://www.sciencedirect.com/science/article/pii/S0165011497003771</w:t>
      </w:r>
    </w:p>
    <w:p>
      <w:pPr>
        <w:pStyle w:val="Small"/>
      </w:pPr>
      <w:r>
        <w:t>Ramanathan R., Ganesh L. S. Group preference aggregation methods employed in AHP. European Journal of Operational Research, 1994. DOI: 10.1016/0377-2217(94)90356-5. https://www.sciencedirect.com/science/article/pii/0377221794903565</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Фаза 1 • Отчёт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Aptos" w:hAnsi="Aptos"/>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