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sz w:val="28"/>
          <w:szCs w:val="28"/>
        </w:rPr>
        <w:t xml:space="preserve">Міністерство освіти і науки України</w:t>
      </w:r>
    </w:p>
    <w:p>
      <w:pPr>
        <w:spacing w:after="120"/>
        <w:jc w:val="center"/>
      </w:pPr>
      <w:r>
        <w:rPr>
          <w:rFonts w:ascii="Times New Roman" w:cs="Times New Roman" w:eastAsia="Times New Roman" w:hAnsi="Times New Roman"/>
          <w:sz w:val="28"/>
          <w:szCs w:val="28"/>
        </w:rPr>
        <w:t xml:space="preserve">Національний університет водного господарства та природокористування</w:t>
      </w:r>
    </w:p>
    <w:p>
      <w:pPr>
        <w:spacing w:after="120"/>
        <w:jc w:val="center"/>
      </w:pPr>
      <w:r>
        <w:rPr>
          <w:rFonts w:ascii="Times New Roman" w:cs="Times New Roman" w:eastAsia="Times New Roman" w:hAnsi="Times New Roman"/>
          <w:sz w:val="28"/>
          <w:szCs w:val="28"/>
        </w:rPr>
        <w:t xml:space="preserve">Навчально-науковий інститут кібернетики, інформаційних технологій та інженерії</w:t>
      </w:r>
    </w:p>
    <w:p>
      <w:pPr>
        <w:spacing w:after="120"/>
        <w:jc w:val="center"/>
      </w:pPr>
      <w:r>
        <w:rPr>
          <w:rFonts w:ascii="Times New Roman" w:cs="Times New Roman" w:eastAsia="Times New Roman" w:hAnsi="Times New Roman"/>
          <w:sz w:val="28"/>
          <w:szCs w:val="28"/>
        </w:rPr>
        <w:t xml:space="preserve">Кафедра комп'ютерних наук та прикладної математики</w:t>
      </w:r>
    </w:p>
    <w:p>
      <w:pPr>
        <w:spacing w:after="1200"/>
      </w:pPr>
    </w:p>
    <w:p>
      <w:pPr>
        <w:spacing w:after="120"/>
        <w:jc w:val="center"/>
      </w:pPr>
      <w:r>
        <w:rPr>
          <w:rFonts w:ascii="Times New Roman" w:cs="Times New Roman" w:eastAsia="Times New Roman" w:hAnsi="Times New Roman"/>
          <w:b/>
          <w:bCs/>
          <w:sz w:val="28"/>
          <w:szCs w:val="28"/>
        </w:rPr>
        <w:t xml:space="preserve">ЗВІТ</w:t>
      </w:r>
    </w:p>
    <w:p>
      <w:pPr>
        <w:spacing w:after="120"/>
        <w:jc w:val="center"/>
      </w:pPr>
      <w:r>
        <w:rPr>
          <w:rFonts w:ascii="Times New Roman" w:cs="Times New Roman" w:eastAsia="Times New Roman" w:hAnsi="Times New Roman"/>
          <w:sz w:val="28"/>
          <w:szCs w:val="28"/>
        </w:rPr>
        <w:t xml:space="preserve">з проходження передкваліфікаційної практики на тему:</w:t>
      </w:r>
    </w:p>
    <w:p>
      <w:pPr>
        <w:spacing w:after="1200"/>
        <w:jc w:val="center"/>
      </w:pPr>
      <w:r>
        <w:rPr>
          <w:rFonts w:ascii="Times New Roman" w:cs="Times New Roman" w:eastAsia="Times New Roman" w:hAnsi="Times New Roman"/>
          <w:b/>
          <w:bCs/>
          <w:sz w:val="28"/>
          <w:szCs w:val="28"/>
        </w:rPr>
        <w:t xml:space="preserve">«Тріангуляція плоских областей із включеннями та розрізами методом рухомого фронту: аналіз програмної реалізації на прикладі проєкту afm_mesher»</w:t>
      </w:r>
    </w:p>
    <w:p>
      <w:pPr>
        <w:spacing w:after="40"/>
        <w:ind w:left="4896"/>
        <w:jc w:val="left"/>
      </w:pPr>
      <w:r>
        <w:rPr>
          <w:rFonts w:ascii="Times New Roman" w:cs="Times New Roman" w:eastAsia="Times New Roman" w:hAnsi="Times New Roman"/>
          <w:sz w:val="28"/>
          <w:szCs w:val="28"/>
        </w:rPr>
        <w:t xml:space="preserve">Виконав:</w:t>
      </w:r>
    </w:p>
    <w:p>
      <w:pPr>
        <w:spacing w:after="40"/>
        <w:ind w:left="4896"/>
        <w:jc w:val="left"/>
      </w:pPr>
      <w:r>
        <w:rPr>
          <w:rFonts w:ascii="Times New Roman" w:cs="Times New Roman" w:eastAsia="Times New Roman" w:hAnsi="Times New Roman"/>
          <w:sz w:val="28"/>
          <w:szCs w:val="28"/>
        </w:rPr>
        <w:t xml:space="preserve">здобувач V курсу</w:t>
      </w:r>
    </w:p>
    <w:p>
      <w:pPr>
        <w:spacing w:after="40"/>
        <w:ind w:left="4896"/>
        <w:jc w:val="left"/>
      </w:pPr>
      <w:r>
        <w:rPr>
          <w:rFonts w:ascii="Times New Roman" w:cs="Times New Roman" w:eastAsia="Times New Roman" w:hAnsi="Times New Roman"/>
          <w:sz w:val="28"/>
          <w:szCs w:val="28"/>
        </w:rPr>
        <w:t xml:space="preserve">Мосійчук Юрій Олегович</w:t>
      </w:r>
    </w:p>
    <w:p>
      <w:pPr>
        <w:spacing w:after="40"/>
        <w:ind w:left="4896"/>
        <w:jc w:val="left"/>
      </w:pPr>
      <w:r>
        <w:rPr>
          <w:rFonts w:ascii="Times New Roman" w:cs="Times New Roman" w:eastAsia="Times New Roman" w:hAnsi="Times New Roman"/>
          <w:sz w:val="28"/>
          <w:szCs w:val="28"/>
        </w:rPr>
        <w:t xml:space="preserve">групи КН-51</w:t>
      </w:r>
    </w:p>
    <w:p>
      <w:pPr>
        <w:spacing w:after="400"/>
        <w:ind w:left="4896"/>
        <w:jc w:val="left"/>
      </w:pPr>
      <w:r>
        <w:rPr>
          <w:rFonts w:ascii="Times New Roman" w:cs="Times New Roman" w:eastAsia="Times New Roman" w:hAnsi="Times New Roman"/>
          <w:sz w:val="28"/>
          <w:szCs w:val="28"/>
        </w:rPr>
        <w:t xml:space="preserve">спеціальність «Комп'ютерні науки»</w:t>
      </w:r>
    </w:p>
    <w:p>
      <w:pPr>
        <w:spacing w:after="40"/>
        <w:ind w:left="4896"/>
        <w:jc w:val="left"/>
      </w:pPr>
      <w:r>
        <w:rPr>
          <w:rFonts w:ascii="Times New Roman" w:cs="Times New Roman" w:eastAsia="Times New Roman" w:hAnsi="Times New Roman"/>
          <w:sz w:val="28"/>
          <w:szCs w:val="28"/>
        </w:rPr>
        <w:t xml:space="preserve">Керівник практики від кафедри:</w:t>
      </w:r>
    </w:p>
    <w:p>
      <w:pPr>
        <w:spacing w:after="1600"/>
        <w:ind w:left="4896"/>
        <w:jc w:val="left"/>
      </w:pPr>
      <w:r>
        <w:rPr>
          <w:rFonts w:ascii="Times New Roman" w:cs="Times New Roman" w:eastAsia="Times New Roman" w:hAnsi="Times New Roman"/>
          <w:sz w:val="28"/>
          <w:szCs w:val="28"/>
        </w:rPr>
        <w:t xml:space="preserve">_______________________________</w:t>
      </w:r>
    </w:p>
    <w:p>
      <w:pPr>
        <w:spacing w:before="1600"/>
        <w:jc w:val="center"/>
      </w:pPr>
      <w:r>
        <w:rPr>
          <w:rFonts w:ascii="Times New Roman" w:cs="Times New Roman" w:eastAsia="Times New Roman" w:hAnsi="Times New Roman"/>
          <w:sz w:val="28"/>
          <w:szCs w:val="28"/>
        </w:rPr>
        <w:t xml:space="preserve">Рівне – 2026</w:t>
      </w:r>
    </w:p>
    <w:p>
      <w:pPr>
        <w:pStyle w:val="Heading1"/>
        <w:pageBreakBefore/>
        <w:spacing w:after="240"/>
        <w:jc w:val="center"/>
      </w:pPr>
      <w:r>
        <w:rPr>
          <w:rFonts w:ascii="Times New Roman" w:cs="Times New Roman" w:eastAsia="Times New Roman" w:hAnsi="Times New Roman"/>
          <w:b/>
          <w:bCs/>
          <w:sz w:val="28"/>
          <w:szCs w:val="28"/>
        </w:rPr>
        <w:t xml:space="preserve">ЗМІСТ</w:t>
      </w:r>
    </w:p>
    <w:p>
      <w:pPr>
        <w:tabs>
          <w:tab w:val="right" w:pos="9072" w:leader="dot"/>
        </w:tabs>
        <w:spacing w:after="80"/>
      </w:pPr>
      <w:r>
        <w:rPr>
          <w:rFonts w:ascii="Times New Roman" w:cs="Times New Roman" w:eastAsia="Times New Roman" w:hAnsi="Times New Roman"/>
          <w:sz w:val="28"/>
          <w:szCs w:val="28"/>
        </w:rPr>
        <w:t xml:space="preserve">Анотація</w:t>
      </w:r>
      <w:r>
        <w:rPr>
          <w:rFonts w:ascii="Times New Roman" w:cs="Times New Roman" w:eastAsia="Times New Roman" w:hAnsi="Times New Roman"/>
          <w:sz w:val="28"/>
          <w:szCs w:val="28"/>
        </w:rPr>
        <w:t xml:space="preserve">	3</w:t>
      </w:r>
    </w:p>
    <w:p>
      <w:pPr>
        <w:tabs>
          <w:tab w:val="right" w:pos="9072" w:leader="dot"/>
        </w:tabs>
        <w:spacing w:after="80"/>
      </w:pPr>
      <w:r>
        <w:rPr>
          <w:rFonts w:ascii="Times New Roman" w:cs="Times New Roman" w:eastAsia="Times New Roman" w:hAnsi="Times New Roman"/>
          <w:sz w:val="28"/>
          <w:szCs w:val="28"/>
        </w:rPr>
        <w:t xml:space="preserve">Вступ</w:t>
      </w:r>
      <w:r>
        <w:rPr>
          <w:rFonts w:ascii="Times New Roman" w:cs="Times New Roman" w:eastAsia="Times New Roman" w:hAnsi="Times New Roman"/>
          <w:sz w:val="28"/>
          <w:szCs w:val="28"/>
        </w:rPr>
        <w:t xml:space="preserve">	4</w:t>
      </w:r>
    </w:p>
    <w:p>
      <w:pPr>
        <w:tabs>
          <w:tab w:val="right" w:pos="9072" w:leader="dot"/>
        </w:tabs>
        <w:spacing w:after="80"/>
      </w:pPr>
      <w:r>
        <w:rPr>
          <w:rFonts w:ascii="Times New Roman" w:cs="Times New Roman" w:eastAsia="Times New Roman" w:hAnsi="Times New Roman"/>
          <w:sz w:val="28"/>
          <w:szCs w:val="28"/>
        </w:rPr>
        <w:t xml:space="preserve">Розділ 1. Аналіз предметної області та постановка задачі тріангуляції</w:t>
      </w:r>
      <w:r>
        <w:rPr>
          <w:rFonts w:ascii="Times New Roman" w:cs="Times New Roman" w:eastAsia="Times New Roman" w:hAnsi="Times New Roman"/>
          <w:sz w:val="28"/>
          <w:szCs w:val="28"/>
        </w:rPr>
        <w:t xml:space="preserve">	5</w:t>
      </w:r>
    </w:p>
    <w:p>
      <w:pPr>
        <w:tabs>
          <w:tab w:val="right" w:pos="9072" w:leader="dot"/>
        </w:tabs>
        <w:spacing w:after="60"/>
        <w:ind w:left="504"/>
      </w:pPr>
      <w:r>
        <w:rPr>
          <w:rFonts w:ascii="Times New Roman" w:cs="Times New Roman" w:eastAsia="Times New Roman" w:hAnsi="Times New Roman"/>
          <w:sz w:val="28"/>
          <w:szCs w:val="28"/>
        </w:rPr>
        <w:t xml:space="preserve">1.1. Прикладні задачі, що потребують тріангуляції областей із включеннями</w:t>
      </w:r>
      <w:r>
        <w:rPr>
          <w:rFonts w:ascii="Times New Roman" w:cs="Times New Roman" w:eastAsia="Times New Roman" w:hAnsi="Times New Roman"/>
          <w:sz w:val="28"/>
          <w:szCs w:val="28"/>
        </w:rPr>
        <w:t xml:space="preserve">	5</w:t>
      </w:r>
    </w:p>
    <w:p>
      <w:pPr>
        <w:tabs>
          <w:tab w:val="right" w:pos="9072" w:leader="dot"/>
        </w:tabs>
        <w:spacing w:after="60"/>
        <w:ind w:left="504"/>
      </w:pPr>
      <w:r>
        <w:rPr>
          <w:rFonts w:ascii="Times New Roman" w:cs="Times New Roman" w:eastAsia="Times New Roman" w:hAnsi="Times New Roman"/>
          <w:sz w:val="28"/>
          <w:szCs w:val="28"/>
        </w:rPr>
        <w:t xml:space="preserve">1.2. Аналіз наявних підходів до тріангуляції багатозв'язних областей</w:t>
      </w:r>
      <w:r>
        <w:rPr>
          <w:rFonts w:ascii="Times New Roman" w:cs="Times New Roman" w:eastAsia="Times New Roman" w:hAnsi="Times New Roman"/>
          <w:sz w:val="28"/>
          <w:szCs w:val="28"/>
        </w:rPr>
        <w:t xml:space="preserve">	6</w:t>
      </w:r>
    </w:p>
    <w:p>
      <w:pPr>
        <w:tabs>
          <w:tab w:val="right" w:pos="9072" w:leader="dot"/>
        </w:tabs>
        <w:spacing w:after="60"/>
        <w:ind w:left="504"/>
      </w:pPr>
      <w:r>
        <w:rPr>
          <w:rFonts w:ascii="Times New Roman" w:cs="Times New Roman" w:eastAsia="Times New Roman" w:hAnsi="Times New Roman"/>
          <w:sz w:val="28"/>
          <w:szCs w:val="28"/>
        </w:rPr>
        <w:t xml:space="preserve">1.3. Формалізація понять області, включення та розрізу</w:t>
      </w:r>
      <w:r>
        <w:rPr>
          <w:rFonts w:ascii="Times New Roman" w:cs="Times New Roman" w:eastAsia="Times New Roman" w:hAnsi="Times New Roman"/>
          <w:sz w:val="28"/>
          <w:szCs w:val="28"/>
        </w:rPr>
        <w:t xml:space="preserve">	6</w:t>
      </w:r>
    </w:p>
    <w:p>
      <w:pPr>
        <w:tabs>
          <w:tab w:val="right" w:pos="9072" w:leader="dot"/>
        </w:tabs>
        <w:spacing w:after="60"/>
        <w:ind w:left="504"/>
      </w:pPr>
      <w:r>
        <w:rPr>
          <w:rFonts w:ascii="Times New Roman" w:cs="Times New Roman" w:eastAsia="Times New Roman" w:hAnsi="Times New Roman"/>
          <w:sz w:val="28"/>
          <w:szCs w:val="28"/>
        </w:rPr>
        <w:t xml:space="preserve">1.4. Вимоги до вихідних даних та якості побудованої сітки</w:t>
      </w:r>
      <w:r>
        <w:rPr>
          <w:rFonts w:ascii="Times New Roman" w:cs="Times New Roman" w:eastAsia="Times New Roman" w:hAnsi="Times New Roman"/>
          <w:sz w:val="28"/>
          <w:szCs w:val="28"/>
        </w:rPr>
        <w:t xml:space="preserve">	7</w:t>
      </w:r>
    </w:p>
    <w:p>
      <w:pPr>
        <w:tabs>
          <w:tab w:val="right" w:pos="9072" w:leader="dot"/>
        </w:tabs>
        <w:spacing w:after="80"/>
      </w:pPr>
      <w:r>
        <w:rPr>
          <w:rFonts w:ascii="Times New Roman" w:cs="Times New Roman" w:eastAsia="Times New Roman" w:hAnsi="Times New Roman"/>
          <w:sz w:val="28"/>
          <w:szCs w:val="28"/>
        </w:rPr>
        <w:t xml:space="preserve">Розділ 2. Архітектура та структури даних програмної системи afm_mesher</w:t>
      </w:r>
      <w:r>
        <w:rPr>
          <w:rFonts w:ascii="Times New Roman" w:cs="Times New Roman" w:eastAsia="Times New Roman" w:hAnsi="Times New Roman"/>
          <w:sz w:val="28"/>
          <w:szCs w:val="28"/>
        </w:rPr>
        <w:t xml:space="preserve">	8</w:t>
      </w:r>
    </w:p>
    <w:p>
      <w:pPr>
        <w:tabs>
          <w:tab w:val="right" w:pos="9072" w:leader="dot"/>
        </w:tabs>
        <w:spacing w:after="60"/>
        <w:ind w:left="504"/>
      </w:pPr>
      <w:r>
        <w:rPr>
          <w:rFonts w:ascii="Times New Roman" w:cs="Times New Roman" w:eastAsia="Times New Roman" w:hAnsi="Times New Roman"/>
          <w:sz w:val="28"/>
          <w:szCs w:val="28"/>
        </w:rPr>
        <w:t xml:space="preserve">2.1. Технологічний стек та функціональний розподіл модулів системи</w:t>
      </w:r>
      <w:r>
        <w:rPr>
          <w:rFonts w:ascii="Times New Roman" w:cs="Times New Roman" w:eastAsia="Times New Roman" w:hAnsi="Times New Roman"/>
          <w:sz w:val="28"/>
          <w:szCs w:val="28"/>
        </w:rPr>
        <w:t xml:space="preserve">	8</w:t>
      </w:r>
    </w:p>
    <w:p>
      <w:pPr>
        <w:tabs>
          <w:tab w:val="right" w:pos="9072" w:leader="dot"/>
        </w:tabs>
        <w:spacing w:after="60"/>
        <w:ind w:left="504"/>
      </w:pPr>
      <w:r>
        <w:rPr>
          <w:rFonts w:ascii="Times New Roman" w:cs="Times New Roman" w:eastAsia="Times New Roman" w:hAnsi="Times New Roman"/>
          <w:sz w:val="28"/>
          <w:szCs w:val="28"/>
        </w:rPr>
        <w:t xml:space="preserve">2.2. Базові геометричні класи Point, Triangle та LinearTriangle</w:t>
      </w:r>
      <w:r>
        <w:rPr>
          <w:rFonts w:ascii="Times New Roman" w:cs="Times New Roman" w:eastAsia="Times New Roman" w:hAnsi="Times New Roman"/>
          <w:sz w:val="28"/>
          <w:szCs w:val="28"/>
        </w:rPr>
        <w:t xml:space="preserve">	9</w:t>
      </w:r>
    </w:p>
    <w:p>
      <w:pPr>
        <w:tabs>
          <w:tab w:val="right" w:pos="9072" w:leader="dot"/>
        </w:tabs>
        <w:spacing w:after="60"/>
        <w:ind w:left="504"/>
      </w:pPr>
      <w:r>
        <w:rPr>
          <w:rFonts w:ascii="Times New Roman" w:cs="Times New Roman" w:eastAsia="Times New Roman" w:hAnsi="Times New Roman"/>
          <w:sz w:val="28"/>
          <w:szCs w:val="28"/>
        </w:rPr>
        <w:t xml:space="preserve">2.3. Класи Mesh та IndexedMesh: перехід до наскрізної нумерації сітки</w:t>
      </w:r>
      <w:r>
        <w:rPr>
          <w:rFonts w:ascii="Times New Roman" w:cs="Times New Roman" w:eastAsia="Times New Roman" w:hAnsi="Times New Roman"/>
          <w:sz w:val="28"/>
          <w:szCs w:val="28"/>
        </w:rPr>
        <w:t xml:space="preserve">	10</w:t>
      </w:r>
    </w:p>
    <w:p>
      <w:pPr>
        <w:tabs>
          <w:tab w:val="right" w:pos="9072" w:leader="dot"/>
        </w:tabs>
        <w:spacing w:after="60"/>
        <w:ind w:left="504"/>
      </w:pPr>
      <w:r>
        <w:rPr>
          <w:rFonts w:ascii="Times New Roman" w:cs="Times New Roman" w:eastAsia="Times New Roman" w:hAnsi="Times New Roman"/>
          <w:sz w:val="28"/>
          <w:szCs w:val="28"/>
        </w:rPr>
        <w:t xml:space="preserve">2.4. Класифікація вузлів та подання включень і розрізів</w:t>
      </w:r>
      <w:r>
        <w:rPr>
          <w:rFonts w:ascii="Times New Roman" w:cs="Times New Roman" w:eastAsia="Times New Roman" w:hAnsi="Times New Roman"/>
          <w:sz w:val="28"/>
          <w:szCs w:val="28"/>
        </w:rPr>
        <w:t xml:space="preserve">	10</w:t>
      </w:r>
    </w:p>
    <w:p>
      <w:pPr>
        <w:tabs>
          <w:tab w:val="right" w:pos="9072" w:leader="dot"/>
        </w:tabs>
        <w:spacing w:after="80"/>
      </w:pPr>
      <w:r>
        <w:rPr>
          <w:rFonts w:ascii="Times New Roman" w:cs="Times New Roman" w:eastAsia="Times New Roman" w:hAnsi="Times New Roman"/>
          <w:sz w:val="28"/>
          <w:szCs w:val="28"/>
        </w:rPr>
        <w:t xml:space="preserve">Розділ 3. Сценарії побудови сітки та обробки вхідних даних</w:t>
      </w:r>
      <w:r>
        <w:rPr>
          <w:rFonts w:ascii="Times New Roman" w:cs="Times New Roman" w:eastAsia="Times New Roman" w:hAnsi="Times New Roman"/>
          <w:sz w:val="28"/>
          <w:szCs w:val="28"/>
        </w:rPr>
        <w:t xml:space="preserve">	12</w:t>
      </w:r>
    </w:p>
    <w:p>
      <w:pPr>
        <w:tabs>
          <w:tab w:val="right" w:pos="9072" w:leader="dot"/>
        </w:tabs>
        <w:spacing w:after="60"/>
        <w:ind w:left="504"/>
      </w:pPr>
      <w:r>
        <w:rPr>
          <w:rFonts w:ascii="Times New Roman" w:cs="Times New Roman" w:eastAsia="Times New Roman" w:hAnsi="Times New Roman"/>
          <w:sz w:val="28"/>
          <w:szCs w:val="28"/>
        </w:rPr>
        <w:t xml:space="preserve">3.1. Способи задання вихідної геометрії області</w:t>
      </w:r>
      <w:r>
        <w:rPr>
          <w:rFonts w:ascii="Times New Roman" w:cs="Times New Roman" w:eastAsia="Times New Roman" w:hAnsi="Times New Roman"/>
          <w:sz w:val="28"/>
          <w:szCs w:val="28"/>
        </w:rPr>
        <w:t xml:space="preserve">	12</w:t>
      </w:r>
    </w:p>
    <w:p>
      <w:pPr>
        <w:tabs>
          <w:tab w:val="right" w:pos="9072" w:leader="dot"/>
        </w:tabs>
        <w:spacing w:after="60"/>
        <w:ind w:left="504"/>
      </w:pPr>
      <w:r>
        <w:rPr>
          <w:rFonts w:ascii="Times New Roman" w:cs="Times New Roman" w:eastAsia="Times New Roman" w:hAnsi="Times New Roman"/>
          <w:sz w:val="28"/>
          <w:szCs w:val="28"/>
        </w:rPr>
        <w:t xml:space="preserve">3.2. Класифікація вкладеності контурів і визначення ролі включень</w:t>
      </w:r>
      <w:r>
        <w:rPr>
          <w:rFonts w:ascii="Times New Roman" w:cs="Times New Roman" w:eastAsia="Times New Roman" w:hAnsi="Times New Roman"/>
          <w:sz w:val="28"/>
          <w:szCs w:val="28"/>
        </w:rPr>
        <w:t xml:space="preserve">	12</w:t>
      </w:r>
    </w:p>
    <w:p>
      <w:pPr>
        <w:tabs>
          <w:tab w:val="right" w:pos="9072" w:leader="dot"/>
        </w:tabs>
        <w:spacing w:after="60"/>
        <w:ind w:left="504"/>
      </w:pPr>
      <w:r>
        <w:rPr>
          <w:rFonts w:ascii="Times New Roman" w:cs="Times New Roman" w:eastAsia="Times New Roman" w:hAnsi="Times New Roman"/>
          <w:sz w:val="28"/>
          <w:szCs w:val="28"/>
        </w:rPr>
        <w:t xml:space="preserve">3.3. Побудова індексованої сітки та перенумерування елементів</w:t>
      </w:r>
      <w:r>
        <w:rPr>
          <w:rFonts w:ascii="Times New Roman" w:cs="Times New Roman" w:eastAsia="Times New Roman" w:hAnsi="Times New Roman"/>
          <w:sz w:val="28"/>
          <w:szCs w:val="28"/>
        </w:rPr>
        <w:t xml:space="preserve">	13</w:t>
      </w:r>
    </w:p>
    <w:p>
      <w:pPr>
        <w:tabs>
          <w:tab w:val="right" w:pos="9072" w:leader="dot"/>
        </w:tabs>
        <w:spacing w:after="60"/>
        <w:ind w:left="504"/>
      </w:pPr>
      <w:r>
        <w:rPr>
          <w:rFonts w:ascii="Times New Roman" w:cs="Times New Roman" w:eastAsia="Times New Roman" w:hAnsi="Times New Roman"/>
          <w:sz w:val="28"/>
          <w:szCs w:val="28"/>
        </w:rPr>
        <w:t xml:space="preserve">3.4. Серіалізація результатів у форматах JSON, OBJ, PLY, VTK</w:t>
      </w:r>
      <w:r>
        <w:rPr>
          <w:rFonts w:ascii="Times New Roman" w:cs="Times New Roman" w:eastAsia="Times New Roman" w:hAnsi="Times New Roman"/>
          <w:sz w:val="28"/>
          <w:szCs w:val="28"/>
        </w:rPr>
        <w:t xml:space="preserve">	14</w:t>
      </w:r>
    </w:p>
    <w:p>
      <w:pPr>
        <w:tabs>
          <w:tab w:val="right" w:pos="9072" w:leader="dot"/>
        </w:tabs>
        <w:spacing w:after="80"/>
      </w:pPr>
      <w:r>
        <w:rPr>
          <w:rFonts w:ascii="Times New Roman" w:cs="Times New Roman" w:eastAsia="Times New Roman" w:hAnsi="Times New Roman"/>
          <w:sz w:val="28"/>
          <w:szCs w:val="28"/>
        </w:rPr>
        <w:t xml:space="preserve">Розділ 4. Підходи до тестування та план подальшого дослідження</w:t>
      </w:r>
      <w:r>
        <w:rPr>
          <w:rFonts w:ascii="Times New Roman" w:cs="Times New Roman" w:eastAsia="Times New Roman" w:hAnsi="Times New Roman"/>
          <w:sz w:val="28"/>
          <w:szCs w:val="28"/>
        </w:rPr>
        <w:t xml:space="preserve">	15</w:t>
      </w:r>
    </w:p>
    <w:p>
      <w:pPr>
        <w:tabs>
          <w:tab w:val="right" w:pos="9072" w:leader="dot"/>
        </w:tabs>
        <w:spacing w:after="60"/>
        <w:ind w:left="504"/>
      </w:pPr>
      <w:r>
        <w:rPr>
          <w:rFonts w:ascii="Times New Roman" w:cs="Times New Roman" w:eastAsia="Times New Roman" w:hAnsi="Times New Roman"/>
          <w:sz w:val="28"/>
          <w:szCs w:val="28"/>
        </w:rPr>
        <w:t xml:space="preserve">4.1. Організація тестового набору проєкту</w:t>
      </w:r>
      <w:r>
        <w:rPr>
          <w:rFonts w:ascii="Times New Roman" w:cs="Times New Roman" w:eastAsia="Times New Roman" w:hAnsi="Times New Roman"/>
          <w:sz w:val="28"/>
          <w:szCs w:val="28"/>
        </w:rPr>
        <w:t xml:space="preserve">	15</w:t>
      </w:r>
    </w:p>
    <w:p>
      <w:pPr>
        <w:tabs>
          <w:tab w:val="right" w:pos="9072" w:leader="dot"/>
        </w:tabs>
        <w:spacing w:after="60"/>
        <w:ind w:left="504"/>
      </w:pPr>
      <w:r>
        <w:rPr>
          <w:rFonts w:ascii="Times New Roman" w:cs="Times New Roman" w:eastAsia="Times New Roman" w:hAnsi="Times New Roman"/>
          <w:sz w:val="28"/>
          <w:szCs w:val="28"/>
        </w:rPr>
        <w:t xml:space="preserve">4.2. Категорії тестових сценаріїв</w:t>
      </w:r>
      <w:r>
        <w:rPr>
          <w:rFonts w:ascii="Times New Roman" w:cs="Times New Roman" w:eastAsia="Times New Roman" w:hAnsi="Times New Roman"/>
          <w:sz w:val="28"/>
          <w:szCs w:val="28"/>
        </w:rPr>
        <w:t xml:space="preserve">	15</w:t>
      </w:r>
    </w:p>
    <w:p>
      <w:pPr>
        <w:tabs>
          <w:tab w:val="right" w:pos="9072" w:leader="dot"/>
        </w:tabs>
        <w:spacing w:after="60"/>
        <w:ind w:left="504"/>
      </w:pPr>
      <w:r>
        <w:rPr>
          <w:rFonts w:ascii="Times New Roman" w:cs="Times New Roman" w:eastAsia="Times New Roman" w:hAnsi="Times New Roman"/>
          <w:sz w:val="28"/>
          <w:szCs w:val="28"/>
        </w:rPr>
        <w:t xml:space="preserve">4.3. Обмеження поточної реалізації</w:t>
      </w:r>
      <w:r>
        <w:rPr>
          <w:rFonts w:ascii="Times New Roman" w:cs="Times New Roman" w:eastAsia="Times New Roman" w:hAnsi="Times New Roman"/>
          <w:sz w:val="28"/>
          <w:szCs w:val="28"/>
        </w:rPr>
        <w:t xml:space="preserve">	16</w:t>
      </w:r>
    </w:p>
    <w:p>
      <w:pPr>
        <w:tabs>
          <w:tab w:val="right" w:pos="9072" w:leader="dot"/>
        </w:tabs>
        <w:spacing w:after="60"/>
        <w:ind w:left="504"/>
      </w:pPr>
      <w:r>
        <w:rPr>
          <w:rFonts w:ascii="Times New Roman" w:cs="Times New Roman" w:eastAsia="Times New Roman" w:hAnsi="Times New Roman"/>
          <w:sz w:val="28"/>
          <w:szCs w:val="28"/>
        </w:rPr>
        <w:t xml:space="preserve">4.4. Плани подальшого дослідження в межах кваліфікаційної роботи</w:t>
      </w:r>
      <w:r>
        <w:rPr>
          <w:rFonts w:ascii="Times New Roman" w:cs="Times New Roman" w:eastAsia="Times New Roman" w:hAnsi="Times New Roman"/>
          <w:sz w:val="28"/>
          <w:szCs w:val="28"/>
        </w:rPr>
        <w:t xml:space="preserve">	16</w:t>
      </w:r>
    </w:p>
    <w:p>
      <w:pPr>
        <w:tabs>
          <w:tab w:val="right" w:pos="9072" w:leader="dot"/>
        </w:tabs>
        <w:spacing w:after="80"/>
      </w:pPr>
      <w:r>
        <w:rPr>
          <w:rFonts w:ascii="Times New Roman" w:cs="Times New Roman" w:eastAsia="Times New Roman" w:hAnsi="Times New Roman"/>
          <w:sz w:val="28"/>
          <w:szCs w:val="28"/>
        </w:rPr>
        <w:t xml:space="preserve">Висновки</w:t>
      </w:r>
      <w:r>
        <w:rPr>
          <w:rFonts w:ascii="Times New Roman" w:cs="Times New Roman" w:eastAsia="Times New Roman" w:hAnsi="Times New Roman"/>
          <w:sz w:val="28"/>
          <w:szCs w:val="28"/>
        </w:rPr>
        <w:t xml:space="preserve">	17</w:t>
      </w:r>
    </w:p>
    <w:p>
      <w:pPr>
        <w:tabs>
          <w:tab w:val="right" w:pos="9072" w:leader="dot"/>
        </w:tabs>
        <w:spacing w:after="80"/>
      </w:pPr>
      <w:r>
        <w:rPr>
          <w:rFonts w:ascii="Times New Roman" w:cs="Times New Roman" w:eastAsia="Times New Roman" w:hAnsi="Times New Roman"/>
          <w:sz w:val="28"/>
          <w:szCs w:val="28"/>
        </w:rPr>
        <w:t xml:space="preserve">Список використаних джерел</w:t>
      </w:r>
      <w:r>
        <w:rPr>
          <w:rFonts w:ascii="Times New Roman" w:cs="Times New Roman" w:eastAsia="Times New Roman" w:hAnsi="Times New Roman"/>
          <w:sz w:val="28"/>
          <w:szCs w:val="28"/>
        </w:rPr>
        <w:t xml:space="preserve">	18</w:t>
      </w:r>
    </w:p>
    <w:p>
      <w:pPr>
        <w:pStyle w:val="Heading1"/>
        <w:pageBreakBefore/>
        <w:spacing w:after="240" w:before="240"/>
        <w:jc w:val="left"/>
      </w:pPr>
      <w:r>
        <w:rPr>
          <w:rFonts w:ascii="Times New Roman" w:cs="Times New Roman" w:eastAsia="Times New Roman" w:hAnsi="Times New Roman"/>
          <w:b/>
          <w:bCs/>
          <w:sz w:val="28"/>
          <w:szCs w:val="28"/>
        </w:rPr>
        <w:t xml:space="preserve">АНОТАЦІЯ</w:t>
      </w:r>
    </w:p>
    <w:p>
      <w:pPr>
        <w:spacing w:after="120" w:line="360" w:lineRule="auto"/>
        <w:ind w:firstLine="720"/>
        <w:jc w:val="both"/>
      </w:pPr>
      <w:r>
        <w:rPr>
          <w:rFonts w:ascii="Times New Roman" w:cs="Times New Roman" w:eastAsia="Times New Roman" w:hAnsi="Times New Roman"/>
          <w:sz w:val="28"/>
          <w:szCs w:val="28"/>
        </w:rPr>
        <w:t xml:space="preserve">У звіті проаналізовано програмну реалізацію алгоритмів тріангуляції плоских областей із внутрішніми неоднорідностями — включеннями та розрізами — на прикладі проєкту afm_mesher, що реалізує метод рухомого фронту (Advancing Front Method). Розглянуто прикладні задачі, у яких виникає потреба тріангулювати не прості однозв'язні контури, а області з площинними включеннями та лінійними розрізами: моделювання механічних деталей складної форми, аналіз супутникових знімків, планування забудови територій, обробка медичних зображень.</w:t>
      </w:r>
    </w:p>
    <w:p>
      <w:pPr>
        <w:spacing w:after="120" w:line="360" w:lineRule="auto"/>
        <w:ind w:firstLine="720"/>
        <w:jc w:val="both"/>
      </w:pPr>
      <w:r>
        <w:rPr>
          <w:rFonts w:ascii="Times New Roman" w:cs="Times New Roman" w:eastAsia="Times New Roman" w:hAnsi="Times New Roman"/>
          <w:sz w:val="28"/>
          <w:szCs w:val="28"/>
        </w:rPr>
        <w:t xml:space="preserve">Проаналізовано структури даних програмної системи, що забезпечують геометричне подання трикутника та скінченного елемента, побудову наскрізно пронумерованої сітки та логічну класифікацію вузлів за їхньою роллю в структурі області. Розглянуто технологічний стек реалізації — мову Python, бібліотеки Shapely, NumPy, Pillow, Matplotlib, графічний фреймворк PySide6, — а також підходи до тестування програмної системи.</w:t>
      </w:r>
    </w:p>
    <w:p>
      <w:pPr>
        <w:spacing w:after="120" w:line="360" w:lineRule="auto"/>
        <w:ind w:firstLine="720"/>
        <w:jc w:val="both"/>
      </w:pPr>
      <w:r>
        <w:rPr>
          <w:rFonts w:ascii="Times New Roman" w:cs="Times New Roman" w:eastAsia="Times New Roman" w:hAnsi="Times New Roman"/>
          <w:sz w:val="28"/>
          <w:szCs w:val="28"/>
        </w:rPr>
        <w:t xml:space="preserve">У звіті наведено характеристику предметної області, опис архітектурних рішень проєкту, аналіз основних сценаріїв побудови сітки та план подальшого дослідження алгоритмічної частини проєкту в межах кваліфікаційної роботи.</w:t>
      </w:r>
    </w:p>
    <w:p>
      <w:pPr>
        <w:spacing w:after="120" w:line="360" w:lineRule="auto"/>
        <w:ind w:firstLine="720"/>
        <w:jc w:val="both"/>
      </w:pPr>
      <w:r>
        <w:rPr>
          <w:rFonts w:ascii="Times New Roman" w:cs="Times New Roman" w:eastAsia="Times New Roman" w:hAnsi="Times New Roman"/>
          <w:b/>
          <w:bCs/>
          <w:sz w:val="28"/>
          <w:szCs w:val="28"/>
        </w:rPr>
        <w:t xml:space="preserve">Ключові слова: </w:t>
      </w:r>
      <w:r>
        <w:rPr>
          <w:rFonts w:ascii="Times New Roman" w:cs="Times New Roman" w:eastAsia="Times New Roman" w:hAnsi="Times New Roman"/>
          <w:sz w:val="28"/>
          <w:szCs w:val="28"/>
        </w:rPr>
        <w:t xml:space="preserve">тріангуляція, метод рухомого фронту, скінченні елементи, сітка, включення, розріз, класифікація вузлів, Python, Shapely, NumPy.</w:t>
      </w:r>
    </w:p>
    <w:p>
      <w:pPr>
        <w:pStyle w:val="Heading1"/>
        <w:pageBreakBefore/>
        <w:spacing w:after="240" w:before="240"/>
        <w:jc w:val="left"/>
      </w:pPr>
      <w:r>
        <w:rPr>
          <w:rFonts w:ascii="Times New Roman" w:cs="Times New Roman" w:eastAsia="Times New Roman" w:hAnsi="Times New Roman"/>
          <w:b/>
          <w:bCs/>
          <w:sz w:val="28"/>
          <w:szCs w:val="28"/>
        </w:rPr>
        <w:t xml:space="preserve">ВСТУП</w:t>
      </w:r>
    </w:p>
    <w:p>
      <w:pPr>
        <w:spacing w:after="120" w:line="360" w:lineRule="auto"/>
        <w:ind w:firstLine="720"/>
        <w:jc w:val="both"/>
      </w:pPr>
      <w:r>
        <w:rPr>
          <w:rFonts w:ascii="Times New Roman" w:cs="Times New Roman" w:eastAsia="Times New Roman" w:hAnsi="Times New Roman"/>
          <w:sz w:val="28"/>
          <w:szCs w:val="28"/>
        </w:rPr>
        <w:t xml:space="preserve">Тріангуляція плоских областей є одним із базових етапів у чисельних методах розв'язання інженерних і прикладних задач, зокрема в методі скінченних елементів. Практична цінність цього етапу зростає, коли вихідна область не є простим однозв'язним контуром, а містить внутрішні неоднорідності — включення (підобласті з іншими властивостями) та розрізи (лінії нульової товщини). Такі області виникають при моделюванні механічних деталей складної форми, аналізі супутникових знімків, плануванні забудови та обробці медичних зображень. Наявні алгоритми тріангуляції здебільшого орієнтовані на прості області без явного розрізнення ролі кожного типу внутрішнього контуру, що обумовлює актуальність розробки алгоритмів, здатних послідовно врахувати ці особливості в межах єдиного обчислювального конвеєра.</w:t>
      </w:r>
    </w:p>
    <w:p>
      <w:pPr>
        <w:spacing w:after="120" w:line="360" w:lineRule="auto"/>
        <w:ind w:firstLine="720"/>
        <w:jc w:val="both"/>
      </w:pPr>
      <w:r>
        <w:rPr>
          <w:rFonts w:ascii="Times New Roman" w:cs="Times New Roman" w:eastAsia="Times New Roman" w:hAnsi="Times New Roman"/>
          <w:sz w:val="28"/>
          <w:szCs w:val="28"/>
        </w:rPr>
        <w:t xml:space="preserve">Метою проходження практики є аналіз і опис програмної реалізації алгоритмів тріангуляції плоских областей із включеннями та розрізами на прикладі проєкту afm_mesher, що реалізує метод рухомого фронту (Advancing Front Method).</w:t>
      </w:r>
    </w:p>
    <w:p>
      <w:pPr>
        <w:spacing w:after="120" w:line="360" w:lineRule="auto"/>
        <w:ind w:firstLine="720"/>
        <w:jc w:val="both"/>
      </w:pPr>
      <w:r>
        <w:rPr>
          <w:rFonts w:ascii="Times New Roman" w:cs="Times New Roman" w:eastAsia="Times New Roman" w:hAnsi="Times New Roman"/>
          <w:sz w:val="28"/>
          <w:szCs w:val="28"/>
        </w:rPr>
        <w:t xml:space="preserve">Завдання практики:</w:t>
      </w:r>
    </w:p>
    <w:p>
      <w:pPr>
        <w:pStyle w:val="ListParagraph"/>
        <w:numPr>
          <w:ilvl w:val="0"/>
          <w:numId w:val="2"/>
        </w:numPr>
        <w:spacing w:after="60" w:line="360" w:lineRule="auto"/>
        <w:jc w:val="both"/>
      </w:pPr>
      <w:r>
        <w:rPr>
          <w:rFonts w:ascii="Times New Roman" w:cs="Times New Roman" w:eastAsia="Times New Roman" w:hAnsi="Times New Roman"/>
          <w:sz w:val="28"/>
          <w:szCs w:val="28"/>
        </w:rPr>
        <w:t xml:space="preserve">дослідити предметну область задачі тріангуляції областей із включеннями;</w:t>
      </w:r>
    </w:p>
    <w:p>
      <w:pPr>
        <w:pStyle w:val="ListParagraph"/>
        <w:numPr>
          <w:ilvl w:val="0"/>
          <w:numId w:val="2"/>
        </w:numPr>
        <w:spacing w:after="60" w:line="360" w:lineRule="auto"/>
        <w:jc w:val="both"/>
      </w:pPr>
      <w:r>
        <w:rPr>
          <w:rFonts w:ascii="Times New Roman" w:cs="Times New Roman" w:eastAsia="Times New Roman" w:hAnsi="Times New Roman"/>
          <w:sz w:val="28"/>
          <w:szCs w:val="28"/>
        </w:rPr>
        <w:t xml:space="preserve">проаналізувати структури даних, що використовуються для подання геометрії, скінченного елемента та сітки в цілому;</w:t>
      </w:r>
    </w:p>
    <w:p>
      <w:pPr>
        <w:pStyle w:val="ListParagraph"/>
        <w:numPr>
          <w:ilvl w:val="0"/>
          <w:numId w:val="2"/>
        </w:numPr>
        <w:spacing w:after="60" w:line="360" w:lineRule="auto"/>
        <w:jc w:val="both"/>
      </w:pPr>
      <w:r>
        <w:rPr>
          <w:rFonts w:ascii="Times New Roman" w:cs="Times New Roman" w:eastAsia="Times New Roman" w:hAnsi="Times New Roman"/>
          <w:sz w:val="28"/>
          <w:szCs w:val="28"/>
        </w:rPr>
        <w:t xml:space="preserve">визначити технологічний стек реалізації — мову програмування, бібліотеки, засоби тестування;</w:t>
      </w:r>
    </w:p>
    <w:p>
      <w:pPr>
        <w:pStyle w:val="ListParagraph"/>
        <w:numPr>
          <w:ilvl w:val="0"/>
          <w:numId w:val="2"/>
        </w:numPr>
        <w:spacing w:after="60" w:line="360" w:lineRule="auto"/>
        <w:jc w:val="both"/>
      </w:pPr>
      <w:r>
        <w:rPr>
          <w:rFonts w:ascii="Times New Roman" w:cs="Times New Roman" w:eastAsia="Times New Roman" w:hAnsi="Times New Roman"/>
          <w:sz w:val="28"/>
          <w:szCs w:val="28"/>
        </w:rPr>
        <w:t xml:space="preserve">узагальнити архітектурні рішення проєкту на рівні загальної структури застосунку.</w:t>
      </w:r>
    </w:p>
    <w:p>
      <w:pPr>
        <w:spacing w:after="120" w:line="360" w:lineRule="auto"/>
        <w:ind w:firstLine="720"/>
        <w:jc w:val="both"/>
      </w:pPr>
      <w:r>
        <w:rPr>
          <w:rFonts w:ascii="Times New Roman" w:cs="Times New Roman" w:eastAsia="Times New Roman" w:hAnsi="Times New Roman"/>
          <w:sz w:val="28"/>
          <w:szCs w:val="28"/>
        </w:rPr>
        <w:t xml:space="preserve">Об'єктом дослідження є процес побудови трикутної сітки для плоскої області з включеннями та розрізами.</w:t>
      </w:r>
    </w:p>
    <w:p>
      <w:pPr>
        <w:spacing w:after="120" w:line="360" w:lineRule="auto"/>
        <w:ind w:firstLine="720"/>
        <w:jc w:val="both"/>
      </w:pPr>
      <w:r>
        <w:rPr>
          <w:rFonts w:ascii="Times New Roman" w:cs="Times New Roman" w:eastAsia="Times New Roman" w:hAnsi="Times New Roman"/>
          <w:sz w:val="28"/>
          <w:szCs w:val="28"/>
        </w:rPr>
        <w:t xml:space="preserve">Предметом дослідження є алгоритми та структури даних, що реалізують цей процес у складі програмної системи afm_mesher.</w:t>
      </w:r>
    </w:p>
    <w:p>
      <w:pPr>
        <w:spacing w:after="120" w:line="360" w:lineRule="auto"/>
        <w:ind w:firstLine="720"/>
        <w:jc w:val="both"/>
      </w:pPr>
      <w:r>
        <w:rPr>
          <w:rFonts w:ascii="Times New Roman" w:cs="Times New Roman" w:eastAsia="Times New Roman" w:hAnsi="Times New Roman"/>
          <w:sz w:val="28"/>
          <w:szCs w:val="28"/>
        </w:rPr>
        <w:t xml:space="preserve">Практична цінність роботи полягає в тому, що здійснений аналіз архітектурних рішень і структур даних проєкту afm_mesher формує основу для подальшої деталізації алгоритмічної частини методу рухомого фронту та розробки інтерфейсу користувача в межах кваліфікаційної роботи, а також може бути корисним при проєктуванні подібних систем побудови сіток для областей із внутрішніми неоднорідностями.</w:t>
      </w:r>
    </w:p>
    <w:p>
      <w:pPr>
        <w:pStyle w:val="Heading1"/>
        <w:pageBreakBefore/>
        <w:spacing w:after="240" w:before="240"/>
        <w:jc w:val="left"/>
      </w:pPr>
      <w:r>
        <w:rPr>
          <w:rFonts w:ascii="Times New Roman" w:cs="Times New Roman" w:eastAsia="Times New Roman" w:hAnsi="Times New Roman"/>
          <w:b/>
          <w:bCs/>
          <w:sz w:val="28"/>
          <w:szCs w:val="28"/>
        </w:rPr>
        <w:t xml:space="preserve">РОЗДІЛ 1. АНАЛІЗ ПРЕДМЕТНОЇ ОБЛАСТІ ТА ПОСТАНОВКА ЗАДАЧІ ТРІАНГУЛЯЦІЇ</w:t>
      </w:r>
    </w:p>
    <w:p>
      <w:pPr>
        <w:pStyle w:val="Heading2"/>
        <w:spacing w:after="160" w:before="200"/>
        <w:jc w:val="left"/>
      </w:pPr>
      <w:r>
        <w:rPr>
          <w:rFonts w:ascii="Times New Roman" w:cs="Times New Roman" w:eastAsia="Times New Roman" w:hAnsi="Times New Roman"/>
          <w:b/>
          <w:bCs/>
          <w:sz w:val="28"/>
          <w:szCs w:val="28"/>
        </w:rPr>
        <w:t xml:space="preserve">1.1. Прикладні задачі, що потребують тріангуляції областей із включеннями</w:t>
      </w:r>
    </w:p>
    <w:p>
      <w:pPr>
        <w:spacing w:after="120" w:line="360" w:lineRule="auto"/>
        <w:ind w:firstLine="720"/>
        <w:jc w:val="both"/>
      </w:pPr>
      <w:r>
        <w:rPr>
          <w:rFonts w:ascii="Times New Roman" w:cs="Times New Roman" w:eastAsia="Times New Roman" w:hAnsi="Times New Roman"/>
          <w:sz w:val="28"/>
          <w:szCs w:val="28"/>
        </w:rPr>
        <w:t xml:space="preserve">Тріангуляція плоских областей є базовим підготовчим етапом для багатьох прикладних задач. У методі скінченних елементів побудована сітка є основою для чисельного розрахунку механічних напружень, теплопередачі чи течії рідини в деталі складної форми. В аналізі супутникових знімків і геоінформаційних системах ділянка місцевості рідко буває однорідною: на ній є річки та дороги, що на схемі виглядають як лінії нульової товщини — розрізи, а також озера чи інші ділянки землекористування, які потрібно або виключити з розрахункової сітки, або тріангулювати окремо як підобласть з іншими властивостями — включення.</w:t>
      </w:r>
    </w:p>
    <w:p>
      <w:pPr>
        <w:spacing w:after="120" w:line="360" w:lineRule="auto"/>
        <w:ind w:firstLine="720"/>
        <w:jc w:val="both"/>
      </w:pPr>
      <w:r>
        <w:rPr>
          <w:rFonts w:ascii="Times New Roman" w:cs="Times New Roman" w:eastAsia="Times New Roman" w:hAnsi="Times New Roman"/>
          <w:sz w:val="28"/>
          <w:szCs w:val="28"/>
        </w:rPr>
        <w:t xml:space="preserve">Подібна ситуація виникає й в інших задачах: при моделюванні геологічних пластів є прошарки різних порід, при плануванні забудови місто розбите дорожньою мережею на квартали, при обробці медичних знімків тканина одного органа може містити ділянку іншої структури — пухлину чи кровоносну судину, яку потрібно врахувати в сітці окремо від решти органів.</w:t>
      </w:r>
    </w:p>
    <w:p>
      <w:pPr>
        <w:pStyle w:val="Heading2"/>
        <w:spacing w:after="160" w:before="200"/>
        <w:jc w:val="left"/>
      </w:pPr>
      <w:r>
        <w:rPr>
          <w:rFonts w:ascii="Times New Roman" w:cs="Times New Roman" w:eastAsia="Times New Roman" w:hAnsi="Times New Roman"/>
          <w:b/>
          <w:bCs/>
          <w:sz w:val="28"/>
          <w:szCs w:val="28"/>
        </w:rPr>
        <w:t xml:space="preserve">1.2. Аналіз наявних підходів до тріангуляції багатозв'язних областей</w:t>
      </w:r>
    </w:p>
    <w:p>
      <w:pPr>
        <w:spacing w:after="120" w:line="360" w:lineRule="auto"/>
        <w:ind w:firstLine="720"/>
        <w:jc w:val="both"/>
      </w:pPr>
      <w:r>
        <w:rPr>
          <w:rFonts w:ascii="Times New Roman" w:cs="Times New Roman" w:eastAsia="Times New Roman" w:hAnsi="Times New Roman"/>
          <w:sz w:val="28"/>
          <w:szCs w:val="28"/>
        </w:rPr>
        <w:t xml:space="preserve">У кожному з наведених прикладів вихідна область не є простим однозв'язним многокутником: вона містить внутрішні неоднорідності двох типів — площинні включення та лінійні розрізи. Ці неоднорідності потрібно врахувати ще на етапі побудови сітки, а не постфактум. Наявні алгоритми тріангуляції здебільшого орієнтовані або на прості однозв'язні області, або на багатозв'язні області без явного розрізнення ролі кожного типу внутрішнього контуру і без наскрізної, узгодженої нумерації елементів для області та включень одночасно, що й обумовлює актуальність дослідження алгоритмів, здатних послідовно врахувати ці особливості в межах єдиного обчислювального конвеєра.</w:t>
      </w:r>
    </w:p>
    <w:p>
      <w:pPr>
        <w:spacing w:after="120" w:line="360" w:lineRule="auto"/>
        <w:ind w:firstLine="720"/>
        <w:jc w:val="both"/>
      </w:pPr>
      <w:r>
        <w:rPr>
          <w:rFonts w:ascii="Times New Roman" w:cs="Times New Roman" w:eastAsia="Times New Roman" w:hAnsi="Times New Roman"/>
          <w:sz w:val="28"/>
          <w:szCs w:val="28"/>
        </w:rPr>
        <w:t>Одним із класичних підходів до побудови трикутних сіток є метод рухомого фронту (Advancing Front Method). Його суть полягає в тому, що сітка формується поступово: від межі області всередину додаються нові трикутники, доки вся задана область не буде заповнена елементами. У цьому звіті як наукову основу використано класичну роботу S. H. Lo [1], у якій описано схему генерації трикутних сіток для довільних багатозв’язних плоских областей. На прикладі проєкту afm_mesher розглянуто, як такий підхід можна застосувати до областей із включеннями та розрізами.</w:t>
      </w:r>
    </w:p>
    <w:p>
      <w:pPr>
        <w:pStyle w:val="Heading2"/>
        <w:spacing w:after="160" w:before="200"/>
        <w:jc w:val="left"/>
      </w:pPr>
      <w:r>
        <w:rPr>
          <w:rFonts w:ascii="Times New Roman" w:cs="Times New Roman" w:eastAsia="Times New Roman" w:hAnsi="Times New Roman"/>
          <w:b/>
          <w:bCs/>
          <w:sz w:val="28"/>
          <w:szCs w:val="28"/>
        </w:rPr>
        <w:t xml:space="preserve">1.3. Формалізація понять області, включення та розрізу</w:t>
      </w:r>
    </w:p>
    <w:p>
      <w:pPr>
        <w:spacing w:after="120" w:line="360" w:lineRule="auto"/>
        <w:ind w:firstLine="720"/>
        <w:jc w:val="both"/>
      </w:pPr>
      <w:r>
        <w:rPr>
          <w:rFonts w:ascii="Times New Roman" w:cs="Times New Roman" w:eastAsia="Times New Roman" w:hAnsi="Times New Roman"/>
          <w:sz w:val="28"/>
          <w:szCs w:val="28"/>
        </w:rPr>
        <w:t xml:space="preserve">Розв'язання задачі полягає в побудові розбиття заданої області на скінченну кількість трикутних елементів, які апроксимують цю область і задовольняють набір топологічних та метричних вимог: відсутність перекриття елементів, збіг спільних ребер сусідніх трикутників, відсутність «висячих» вузлів на межах елементів, а також обмеження на розміри та форму трикутників, що впливає на якість подальших чисельних розрахунків.</w:t>
      </w:r>
    </w:p>
    <w:p>
      <w:pPr>
        <w:spacing w:after="120" w:line="360" w:lineRule="auto"/>
        <w:ind w:firstLine="720"/>
        <w:jc w:val="both"/>
      </w:pPr>
      <w:r>
        <w:rPr>
          <w:rFonts w:ascii="Times New Roman" w:cs="Times New Roman" w:eastAsia="Times New Roman" w:hAnsi="Times New Roman"/>
          <w:sz w:val="28"/>
          <w:szCs w:val="28"/>
        </w:rPr>
        <w:t xml:space="preserve">Область вважається многокутною, якщо вона задається впорядкованою послідовністю вершин, межа якої є кусково-лінійною замкненою кривою без самоперетинів. Обхід вершин має фіксовану орієнтацію — додатну або від'ємну, — яку визначають через знакову площу за формулою Гаусса. Аналогічний критерій орієнтації застосовується і до окремого трикутника з трьома вершинами: знак відповідного виразу визначає, чи потрібна перестановка вершин для приведення до канонічного порядку обходу.</w:t>
      </w:r>
    </w:p>
    <w:p>
      <w:pPr>
        <w:spacing w:after="120" w:line="360" w:lineRule="auto"/>
        <w:ind w:firstLine="720"/>
        <w:jc w:val="both"/>
      </w:pPr>
      <w:r>
        <w:rPr>
          <w:rFonts w:ascii="Times New Roman" w:cs="Times New Roman" w:eastAsia="Times New Roman" w:hAnsi="Times New Roman"/>
          <w:sz w:val="28"/>
          <w:szCs w:val="28"/>
        </w:rPr>
        <w:t xml:space="preserve">У межах області можуть бути задані додаткові геометричні об'єкти двох типів — включення та розрізи. Включення — це підобласть з ненульовою площею, обмежена замкненою кривою без самоперетинів. Стосовно включення можливі дві постановки задачі: підобласть виключається з розгляду і тріангулюється лише решта області; або підобласть тріангулюється окремо з узгодженим, але не обов'язково тотожним поданням спільної межі з боку кожної підобласті. Розріз розглядається як вироджений випадок включення з нульовою площею — незамкнена або замкнена крива нульової товщини; при обході межі області розріз має дві сторони, кожну з яких необхідно врахувати окремо, зі збереженням напрямку та неперервності траєкторії обходу.</w:t>
      </w:r>
    </w:p>
    <w:p>
      <w:pPr>
        <w:pStyle w:val="Heading2"/>
        <w:spacing w:after="160" w:before="200"/>
        <w:jc w:val="left"/>
      </w:pPr>
      <w:r>
        <w:rPr>
          <w:rFonts w:ascii="Times New Roman" w:cs="Times New Roman" w:eastAsia="Times New Roman" w:hAnsi="Times New Roman"/>
          <w:b/>
          <w:bCs/>
          <w:sz w:val="28"/>
          <w:szCs w:val="28"/>
        </w:rPr>
        <w:t xml:space="preserve">1.4. Вимоги до вихідних даних та якості побудованої сітки</w:t>
      </w:r>
    </w:p>
    <w:p>
      <w:pPr>
        <w:spacing w:after="120" w:line="360" w:lineRule="auto"/>
        <w:ind w:firstLine="720"/>
        <w:jc w:val="both"/>
      </w:pPr>
      <w:r>
        <w:rPr>
          <w:rFonts w:ascii="Times New Roman" w:cs="Times New Roman" w:eastAsia="Times New Roman" w:hAnsi="Times New Roman"/>
          <w:sz w:val="28"/>
          <w:szCs w:val="28"/>
        </w:rPr>
        <w:t xml:space="preserve">Практична реалізація задачі передбачає три способи введення вихідної геометрії: графічне малювання контуру безпосередньо в інтерфейсі програми; аналітичне завдання через координати вершин з обов'язковим збереженням порядку обходу; та завдання через растрове зображення, з якого контур виділяється засобами обробки зображень. Графічний і растровий способи потребують додаткового етапу виділення й спрощення контуру, тоді як аналітичний спосіб передбачає безпосередню перевірку коректності та замкненості. Якщо задана межа виявляється незамкненою, необхідна процедура виявлення такого розриву та його усунення — автоматичним доповненням контуру або через додатковий запит уточнення до користувача.</w:t>
      </w:r>
    </w:p>
    <w:p>
      <w:pPr>
        <w:spacing w:after="120" w:line="360" w:lineRule="auto"/>
        <w:ind w:firstLine="720"/>
        <w:jc w:val="both"/>
      </w:pPr>
      <w:r>
        <w:rPr>
          <w:rFonts w:ascii="Times New Roman" w:cs="Times New Roman" w:eastAsia="Times New Roman" w:hAnsi="Times New Roman"/>
          <w:sz w:val="28"/>
          <w:szCs w:val="28"/>
        </w:rPr>
        <w:t xml:space="preserve">Придатність побудованої сітки до подальшого використання визначається не лише правильністю топології розбиття, а й геометричною якістю окремих елементів. Трикутник вважається виродженим, якщо його площа наближається до нуля або одна з вершин лежить на прямій, що проходить через дві інші. Важливим є також уникнення надто витягнутих трикутників з малим мінімальним кутом чи великим співвідношенням довжин сторін, оскільки це призводить до поганої обумовленості матриць, які надалі формуються на основі побудованої сітки.</w:t>
      </w:r>
    </w:p>
    <w:p>
      <w:pPr>
        <w:spacing w:after="120" w:line="360" w:lineRule="auto"/>
        <w:ind w:firstLine="720"/>
        <w:jc w:val="both"/>
      </w:pPr>
      <w:r>
        <w:rPr>
          <w:rFonts w:ascii="Times New Roman" w:cs="Times New Roman" w:eastAsia="Times New Roman" w:hAnsi="Times New Roman"/>
          <w:sz w:val="28"/>
          <w:szCs w:val="28"/>
        </w:rPr>
        <w:t xml:space="preserve">Оскільки результуюча сітка охоплює одночасно основну область та всі задані включення, нумерація вузлів і трикутників має бути наскрізною — єдиною для всієї сітки, без окремих незалежних нумерацій для області та кожного включення.</w:t>
      </w:r>
    </w:p>
    <w:p>
      <w:pPr>
        <w:pStyle w:val="Heading1"/>
        <w:pageBreakBefore/>
        <w:spacing w:after="240" w:before="240"/>
        <w:jc w:val="left"/>
      </w:pPr>
      <w:r>
        <w:rPr>
          <w:rFonts w:ascii="Times New Roman" w:cs="Times New Roman" w:eastAsia="Times New Roman" w:hAnsi="Times New Roman"/>
          <w:b/>
          <w:bCs/>
          <w:sz w:val="28"/>
          <w:szCs w:val="28"/>
        </w:rPr>
        <w:t xml:space="preserve">РОЗДІЛ 2. АРХІТЕКТУРА ТА СТРУКТУРИ ДАНИХ ПРОГРАМНОЇ СИСТЕМИ AFM_MESHER</w:t>
      </w:r>
    </w:p>
    <w:p>
      <w:pPr>
        <w:pStyle w:val="Heading2"/>
        <w:spacing w:after="160" w:before="200"/>
        <w:jc w:val="left"/>
      </w:pPr>
      <w:r>
        <w:rPr>
          <w:rFonts w:ascii="Times New Roman" w:cs="Times New Roman" w:eastAsia="Times New Roman" w:hAnsi="Times New Roman"/>
          <w:b/>
          <w:bCs/>
          <w:sz w:val="28"/>
          <w:szCs w:val="28"/>
        </w:rPr>
        <w:t xml:space="preserve">2.1. Технологічний стек та функціональний розподіл модулів системи</w:t>
      </w:r>
    </w:p>
    <w:p>
      <w:pPr>
        <w:spacing w:after="120" w:line="360" w:lineRule="auto"/>
        <w:ind w:firstLine="720"/>
        <w:jc w:val="both"/>
      </w:pPr>
      <w:r>
        <w:rPr>
          <w:rFonts w:ascii="Times New Roman" w:cs="Times New Roman" w:eastAsia="Times New Roman" w:hAnsi="Times New Roman"/>
          <w:sz w:val="28"/>
          <w:szCs w:val="28"/>
        </w:rPr>
        <w:t xml:space="preserve">Проєкт написаний мовою Python. Для роботи з геометрією використано дві бібліотеки. Shapely відповідає за операції з полігонами: перевірку належності точки області, побудову і порівняння контурів — на цьому базується визначення включень, отворів та їхньої вкладеності [2]. NumPy виконує числові розрахунки в ядрі алгоритму побудови сітки: обчислення координат, площ трикутників, операції з масивами вузлів при постобробці [3].</w:t>
      </w:r>
    </w:p>
    <w:p>
      <w:pPr>
        <w:spacing w:after="120" w:line="360" w:lineRule="auto"/>
        <w:ind w:firstLine="720"/>
        <w:jc w:val="both"/>
      </w:pPr>
      <w:r>
        <w:rPr>
          <w:rFonts w:ascii="Times New Roman" w:cs="Times New Roman" w:eastAsia="Times New Roman" w:hAnsi="Times New Roman"/>
          <w:sz w:val="28"/>
          <w:szCs w:val="28"/>
        </w:rPr>
        <w:t xml:space="preserve">Для роботи із зображеннями застосовано Pillow: вона завантажує вхідне зображення, будує з нього бінарну маску, з якої далі виділяється контур області [4]. Окремою функцією реалізовано розпізнавання центральних ліній розрізів на зображенні — вони мають вигляд не замкненого контуру, а лінії ненульової товщини, тому потребують окремого способу виділення. Matplotlib використовується для побудови ілюстративних зображень сітки — і в допоміжних скриптах, і в частині тестів, де перевіряється лише факт створення файлу зображення [5].</w:t>
      </w:r>
    </w:p>
    <w:p>
      <w:pPr>
        <w:spacing w:after="120" w:line="360" w:lineRule="auto"/>
        <w:ind w:firstLine="720"/>
        <w:jc w:val="both"/>
      </w:pPr>
      <w:r>
        <w:rPr>
          <w:rFonts w:ascii="Times New Roman" w:cs="Times New Roman" w:eastAsia="Times New Roman" w:hAnsi="Times New Roman"/>
          <w:sz w:val="28"/>
          <w:szCs w:val="28"/>
        </w:rPr>
        <w:t xml:space="preserve">Графічний інтерфейс побудований на бібліотеці PySide6 (Qt для Python) [6]. Головне вікно програми відповідає за елементи керування, полотно для малювання контуру виділене в окремий клас. Програма може працювати у двох режимах: пакетному, коли обробляється набір заздалегідь підготовлених зображень без участі користувача, і інтерактивному, коли користувач малює контур самостійно у вікні програми.</w:t>
      </w:r>
    </w:p>
    <w:p>
      <w:pPr>
        <w:spacing w:after="120" w:line="360" w:lineRule="auto"/>
        <w:ind w:firstLine="720"/>
        <w:jc w:val="both"/>
      </w:pPr>
      <w:r>
        <w:rPr>
          <w:rFonts w:ascii="Times New Roman" w:cs="Times New Roman" w:eastAsia="Times New Roman" w:hAnsi="Times New Roman"/>
          <w:sz w:val="28"/>
          <w:szCs w:val="28"/>
        </w:rPr>
        <w:t xml:space="preserve">Код поділений на чотири функціональні частини. У першій — сервіси, що безпосередньо запускають побудову сітки методом рухомого фронту. У другій — базові структури даних: точки, трикутники, сітка, класифікація вузлів. У третій — обробка зображень, виділення контурів і збереження результату в різні формати. У четвертій — усе, що стосується вікна програми: саме вікно, полотно, інструменти малювання. Окремо є папка зі скриптами для генерації тестових зображень і перевірки продуктивності на великих вхідних даних, і папка з готовими тестовими зображеннями для пакетного режиму.</w:t>
      </w:r>
    </w:p>
    <w:p>
      <w:pPr>
        <w:pStyle w:val="Heading2"/>
        <w:spacing w:after="160" w:before="200"/>
        <w:jc w:val="left"/>
      </w:pPr>
      <w:r>
        <w:rPr>
          <w:rFonts w:ascii="Times New Roman" w:cs="Times New Roman" w:eastAsia="Times New Roman" w:hAnsi="Times New Roman"/>
          <w:b/>
          <w:bCs/>
          <w:sz w:val="28"/>
          <w:szCs w:val="28"/>
        </w:rPr>
        <w:t xml:space="preserve">2.2. Базові геометричні класи Point, Triangle та LinearTriangle</w:t>
      </w:r>
    </w:p>
    <w:p>
      <w:pPr>
        <w:spacing w:after="120" w:line="360" w:lineRule="auto"/>
        <w:ind w:firstLine="720"/>
        <w:jc w:val="both"/>
      </w:pPr>
      <w:r>
        <w:rPr>
          <w:rFonts w:ascii="Times New Roman" w:cs="Times New Roman" w:eastAsia="Times New Roman" w:hAnsi="Times New Roman"/>
          <w:sz w:val="28"/>
          <w:szCs w:val="28"/>
        </w:rPr>
        <w:t xml:space="preserve">Базовою геометричною одиницею є клас Point, що зберігає незмінну пару координат. Клас Triangle визначає геометричний трикутник впорядкованою трійкою вершин; при створенні перевіряється коректність вхідних даних і невиродженість елемента. Площа трикутника обчислюється методом signed_area(), знак якої одночасно визначає орієнтацію обходу вершин, а модуль дає незнакову площу.</w:t>
      </w:r>
    </w:p>
    <w:p>
      <w:pPr>
        <w:spacing w:after="120" w:line="360" w:lineRule="auto"/>
        <w:ind w:firstLine="720"/>
        <w:jc w:val="both"/>
      </w:pPr>
      <w:r>
        <w:rPr>
          <w:rFonts w:ascii="Times New Roman" w:cs="Times New Roman" w:eastAsia="Times New Roman" w:hAnsi="Times New Roman"/>
          <w:sz w:val="28"/>
          <w:szCs w:val="28"/>
        </w:rPr>
        <w:t xml:space="preserve">Для подання скінченного елемента введено клас LinearTriangle, побудований як похідний від Triangle. Обране рішення дозволяє повторно використати геометричну логіку базового трикутника без дублювання коду, зберігаючи можливість розширення в напрямку елементів вищого порядку. Лінійний трикутник додатково містить номер трикутника, трійку номерів вузлів, масштабний коефіцієнт, площу елемента як у пікселях, так і в метрах, та коефіцієнти лінійних базисних функцій. Якщо обчислена знакова площа виявляється від'ємною, виконується одночасна перестановка другої та третьої вершин як у трійці координат, так і у трійці номерів вузлів — синхронність цієї перестановки забезпечує узгодженість геометричного й топологічного подання елемента.</w:t>
      </w:r>
    </w:p>
    <w:p>
      <w:pPr>
        <w:spacing w:after="120" w:line="360" w:lineRule="auto"/>
        <w:ind w:firstLine="720"/>
        <w:jc w:val="both"/>
      </w:pPr>
      <w:r>
        <w:rPr>
          <w:rFonts w:ascii="Times New Roman" w:cs="Times New Roman" w:eastAsia="Times New Roman" w:hAnsi="Times New Roman"/>
          <w:sz w:val="28"/>
          <w:szCs w:val="28"/>
        </w:rPr>
        <w:t xml:space="preserve">Для кожного вузла лінійного трикутника методами phi_i(), phi_j(), phi_k() визначається лінійна базисна функція, коефіцієнти якої обчислюються через координати вершин та подвоєну площу елемента. Ця конструкція гарантує стандартну властивість лінійних базисних функцій скінченного елемента — одиничне значення у власному вузлі та нульове в інших, — що є необхідною умовою для подальшого застосування елемента в чисельних схемах методу Гальоркіна.</w:t>
      </w:r>
    </w:p>
    <w:p>
      <w:pPr>
        <w:pStyle w:val="Heading2"/>
        <w:spacing w:after="160" w:before="200"/>
        <w:jc w:val="left"/>
      </w:pPr>
      <w:r>
        <w:rPr>
          <w:rFonts w:ascii="Times New Roman" w:cs="Times New Roman" w:eastAsia="Times New Roman" w:hAnsi="Times New Roman"/>
          <w:b/>
          <w:bCs/>
          <w:sz w:val="28"/>
          <w:szCs w:val="28"/>
        </w:rPr>
        <w:t xml:space="preserve">2.3. Класи Mesh та IndexedMesh: перехід до наскрізної нумерації сітки</w:t>
      </w:r>
    </w:p>
    <w:p>
      <w:pPr>
        <w:spacing w:after="120" w:line="360" w:lineRule="auto"/>
        <w:ind w:firstLine="720"/>
        <w:jc w:val="both"/>
      </w:pPr>
      <w:r>
        <w:rPr>
          <w:rFonts w:ascii="Times New Roman" w:cs="Times New Roman" w:eastAsia="Times New Roman" w:hAnsi="Times New Roman"/>
          <w:sz w:val="28"/>
          <w:szCs w:val="28"/>
        </w:rPr>
        <w:t xml:space="preserve">Сукупність елементів організовується у класах Mesh та IndexedMesh. Перший відповідає за перетворення геометричних трикутників у сукупність пронумерованих лінійних елементів. Другий, IndexedMesh, є результатом цього перетворення: містить список унікальних вузлів, список елементів у вигляді трійок номерів, множини номерів вузлів на зовнішній межі та межі спряження, ширину матричної стрічки та базу нумерації.</w:t>
      </w:r>
    </w:p>
    <w:p>
      <w:pPr>
        <w:spacing w:after="120" w:line="360" w:lineRule="auto"/>
        <w:ind w:firstLine="720"/>
        <w:jc w:val="both"/>
      </w:pPr>
      <w:r>
        <w:rPr>
          <w:rFonts w:ascii="Times New Roman" w:cs="Times New Roman" w:eastAsia="Times New Roman" w:hAnsi="Times New Roman"/>
          <w:sz w:val="28"/>
          <w:szCs w:val="28"/>
        </w:rPr>
        <w:t xml:space="preserve">У класичній постановці задачі тріангуляції зі спряженими підобластями вузол на спільній межі отримує два різні номери, що дозволяє окремо визначати значення шуканої функції з кожного боку межі, якщо розв'язок має розрив на цій межі. У розглянутій реалізації прийнято інше рішення: кожна унікальна точка отримує єдиний глобальний номер, а її роль виражається виключно через логічну класифікацію, без дублювання номера. Це спрощує модель даних, але без додаткового доопрацювання унеможливлює природне моделювання розриву значення функції безпосередньо на межі спряження.</w:t>
      </w:r>
    </w:p>
    <w:p>
      <w:pPr>
        <w:pStyle w:val="Heading2"/>
        <w:spacing w:after="160" w:before="200"/>
        <w:jc w:val="left"/>
      </w:pPr>
      <w:r>
        <w:rPr>
          <w:rFonts w:ascii="Times New Roman" w:cs="Times New Roman" w:eastAsia="Times New Roman" w:hAnsi="Times New Roman"/>
          <w:b/>
          <w:bCs/>
          <w:sz w:val="28"/>
          <w:szCs w:val="28"/>
        </w:rPr>
        <w:t xml:space="preserve">2.4. Класифікація вузлів та подання включень і розрізів</w:t>
      </w:r>
    </w:p>
    <w:p>
      <w:pPr>
        <w:spacing w:after="120" w:line="360" w:lineRule="auto"/>
        <w:ind w:firstLine="720"/>
        <w:jc w:val="both"/>
      </w:pPr>
      <w:r>
        <w:rPr>
          <w:rFonts w:ascii="Times New Roman" w:cs="Times New Roman" w:eastAsia="Times New Roman" w:hAnsi="Times New Roman"/>
          <w:sz w:val="28"/>
          <w:szCs w:val="28"/>
        </w:rPr>
        <w:t xml:space="preserve">Кожен вузол побудованої сітки додатково характеризується логічним типом, що відображає його роль у структурі області. Перелік типів задано переліковим типом NodeType із трьома значеннями: INTERIOR — внутрішній вузол, який не належить жодній межі; BOUNDARY — межовий вузол, що лежить на зовнішній межі області; INTERFACE — вузол спряження, що лежить на межі внутрішнього включення. Належність вузла до однієї з цих категорій визначається методом node_type() за запитом, на основі того, до яких із двох спеціально виділених множин номерів входить його ідентифікатор. Перевірка виконується з фіксованим пріоритетом: вузол, що формально належить одразу двом множинам, класифікується як вузол спряження, а не як межовий, оскільки його змістовна роль визначається саме належністю до межі спряження.</w:t>
      </w:r>
    </w:p>
    <w:p>
      <w:pPr>
        <w:spacing w:after="120" w:line="360" w:lineRule="auto"/>
        <w:ind w:firstLine="720"/>
        <w:jc w:val="both"/>
      </w:pPr>
      <w:r>
        <w:rPr>
          <w:rFonts w:ascii="Times New Roman" w:cs="Times New Roman" w:eastAsia="Times New Roman" w:hAnsi="Times New Roman"/>
          <w:sz w:val="28"/>
          <w:szCs w:val="28"/>
        </w:rPr>
        <w:t xml:space="preserve">Окремого класу для включення не введено: і зовнішня межа, і межа кожного включення подані однаковою структурою — класом RegionPolygon. Розрізнення ролі контуру виконується на рівні класу ClassifiedRegion, який групує зовнішній контур разом із переліком безпосередніх внутрішніх включень. Визначення «материнської» підобласті здійснюється алгоритмом класифікації топології регіонів: контури впорядковуються за спаданням площі, після чого для кожного визначається найглибше вкладений контур, що його містить, і формується дерево вкладеності; роль контуру визначається парністю глибини вкладення, що дозволяє коректно обробляти довільну скінченну глибину вкладеності (наприклад, острів усередині отвору).</w:t>
      </w:r>
    </w:p>
    <w:p>
      <w:pPr>
        <w:spacing w:after="120" w:line="360" w:lineRule="auto"/>
        <w:ind w:firstLine="720"/>
        <w:jc w:val="both"/>
      </w:pPr>
      <w:r>
        <w:rPr>
          <w:rFonts w:ascii="Times New Roman" w:cs="Times New Roman" w:eastAsia="Times New Roman" w:hAnsi="Times New Roman"/>
          <w:sz w:val="28"/>
          <w:szCs w:val="28"/>
        </w:rPr>
        <w:t xml:space="preserve">Розріз поданий не як замкнений контур, а як незамкнена ламана — послідовність точок без вимоги збігу першої й останньої вершини. Окремої спеціалізованої структури для розрізу не введено — це узгоджується із загальним підходом, за якого і межа області, і межа включення, і розріз описуються на найнижчому рівні однорідно, а їхня змістовна відмінність виражається через класифікаційну роль вузлів.</w:t>
      </w:r>
    </w:p>
    <w:p>
      <w:pPr>
        <w:pStyle w:val="Heading1"/>
        <w:pageBreakBefore/>
        <w:spacing w:after="240" w:before="240"/>
        <w:jc w:val="left"/>
      </w:pPr>
      <w:r>
        <w:rPr>
          <w:rFonts w:ascii="Times New Roman" w:cs="Times New Roman" w:eastAsia="Times New Roman" w:hAnsi="Times New Roman"/>
          <w:b/>
          <w:bCs/>
          <w:sz w:val="28"/>
          <w:szCs w:val="28"/>
        </w:rPr>
        <w:t xml:space="preserve">РОЗДІЛ 3. СЦЕНАРІЇ ПОБУДОВИ СІТКИ ТА ОБРОБКИ ВХІДНИХ ДАНИХ</w:t>
      </w:r>
    </w:p>
    <w:p>
      <w:pPr>
        <w:pStyle w:val="Heading2"/>
        <w:spacing w:after="160" w:before="200"/>
        <w:jc w:val="left"/>
      </w:pPr>
      <w:r>
        <w:rPr>
          <w:rFonts w:ascii="Times New Roman" w:cs="Times New Roman" w:eastAsia="Times New Roman" w:hAnsi="Times New Roman"/>
          <w:b/>
          <w:bCs/>
          <w:sz w:val="28"/>
          <w:szCs w:val="28"/>
        </w:rPr>
        <w:t xml:space="preserve">3.1. Способи задання вихідної геометрії області</w:t>
      </w:r>
    </w:p>
    <w:p>
      <w:pPr>
        <w:spacing w:after="120" w:line="360" w:lineRule="auto"/>
        <w:ind w:firstLine="720"/>
        <w:jc w:val="both"/>
      </w:pPr>
      <w:r>
        <w:rPr>
          <w:rFonts w:ascii="Times New Roman" w:cs="Times New Roman" w:eastAsia="Times New Roman" w:hAnsi="Times New Roman"/>
          <w:sz w:val="28"/>
          <w:szCs w:val="28"/>
        </w:rPr>
        <w:t xml:space="preserve">Основним сценарієм роботи програмної системи є перетворення вихідного опису області в готову трикутну сітку. Користувач може задати геометрію одним із трьох способів: намалювати контур на полотні в інтерфейсі програми в інтерактивному режимі; передати координати вершин у форматі JSON для пакетної обробки; або надати растрове зображення, з якого межу області буде виділено автоматично.</w:t>
      </w:r>
    </w:p>
    <w:p>
      <w:pPr>
        <w:spacing w:after="120" w:line="360" w:lineRule="auto"/>
        <w:ind w:firstLine="720"/>
        <w:jc w:val="both"/>
      </w:pPr>
      <w:r>
        <w:rPr>
          <w:rFonts w:ascii="Times New Roman" w:cs="Times New Roman" w:eastAsia="Times New Roman" w:hAnsi="Times New Roman"/>
          <w:sz w:val="28"/>
          <w:szCs w:val="28"/>
        </w:rPr>
        <w:t xml:space="preserve">При графічному та растровому способах задання геометрії виконується додатковий етап виділення й спрощення контуру, а також окрема процедура розпізнавання центральних ліній розрізів на зображенні, оскільки на растрі вони мають вигляд лінії ненульової товщини, а не замкненого контуру. При аналітичному способі задання геометрії основна увага приділяється перевірці коректності вхідних даних: збереженню порядку обходу вершин та замкненості межі. Якщо межа виявляється незамкненою, спрацьовує процедура виявлення розриву з подальшим автоматичним доповненням контуру або запитом уточнення до користувача.</w:t>
      </w:r>
    </w:p>
    <w:p>
      <w:pPr>
        <w:pStyle w:val="Heading2"/>
        <w:spacing w:after="160" w:before="200"/>
        <w:jc w:val="left"/>
      </w:pPr>
      <w:r>
        <w:rPr>
          <w:rFonts w:ascii="Times New Roman" w:cs="Times New Roman" w:eastAsia="Times New Roman" w:hAnsi="Times New Roman"/>
          <w:b/>
          <w:bCs/>
          <w:sz w:val="28"/>
          <w:szCs w:val="28"/>
        </w:rPr>
        <w:t xml:space="preserve">3.2. Класифікація вкладеності контурів і визначення ролі включень</w:t>
      </w:r>
    </w:p>
    <w:p>
      <w:pPr>
        <w:spacing w:after="120" w:line="360" w:lineRule="auto"/>
        <w:ind w:firstLine="720"/>
        <w:jc w:val="both"/>
      </w:pPr>
      <w:r>
        <w:rPr>
          <w:rFonts w:ascii="Times New Roman" w:cs="Times New Roman" w:eastAsia="Times New Roman" w:hAnsi="Times New Roman"/>
          <w:sz w:val="28"/>
          <w:szCs w:val="28"/>
        </w:rPr>
        <w:t xml:space="preserve">Аналітичний спосіб задання області реалізовано через імпорт координат у форматі JSON. Схема вхідного документа містить три поля: список вершин зовнішньої межі, список включень із координатами та ознакою типу обробки («ignore» або «merge»), та список ламаних розрізів. Розбір здійснюється класом CoordinateJsonImporter, результатом якого є структура ImportedCoordinates.</w:t>
      </w:r>
    </w:p>
    <w:p>
      <w:pPr>
        <w:spacing w:after="120" w:line="360" w:lineRule="auto"/>
        <w:ind w:firstLine="720"/>
        <w:jc w:val="both"/>
      </w:pPr>
      <w:r>
        <w:rPr>
          <w:rFonts w:ascii="Times New Roman" w:cs="Times New Roman" w:eastAsia="Times New Roman" w:hAnsi="Times New Roman"/>
          <w:sz w:val="28"/>
          <w:szCs w:val="28"/>
        </w:rPr>
        <w:t xml:space="preserve">Далі виконується класифікація вкладеності контурів: усі контури впорядковуються за спаданням площі, для кожного визначається найглибше вкладений контур, що його містить, і на основі цього формується дерево вкладеності. Роль кожного контуру — зовнішня межа області чи включення (острів чи отвір) — визначається парністю глибини його вкладення в цьому дереві, що дозволяє коректно обробляти довільну кількість рівнів вкладеності. Для відтворення вихідної постановки за готовою сіткою введено окрему провенансну структуру MeshSourceContours, що прикріплюється до об'єкта Mesh і супроводжує сітку протягом усього подальшого циклу використання, включно з експортом.</w:t>
      </w:r>
    </w:p>
    <w:p>
      <w:pPr>
        <w:pStyle w:val="Heading2"/>
        <w:spacing w:after="160" w:before="200"/>
        <w:jc w:val="left"/>
      </w:pPr>
      <w:r>
        <w:rPr>
          <w:rFonts w:ascii="Times New Roman" w:cs="Times New Roman" w:eastAsia="Times New Roman" w:hAnsi="Times New Roman"/>
          <w:b/>
          <w:bCs/>
          <w:sz w:val="28"/>
          <w:szCs w:val="28"/>
        </w:rPr>
        <w:t xml:space="preserve">3.3. Побудова індексованої сітки та перенумерування елементів</w:t>
      </w:r>
    </w:p>
    <w:p>
      <w:pPr>
        <w:spacing w:after="120" w:line="360" w:lineRule="auto"/>
        <w:ind w:firstLine="720"/>
        <w:jc w:val="both"/>
      </w:pPr>
      <w:r>
        <w:rPr>
          <w:rFonts w:ascii="Times New Roman" w:cs="Times New Roman" w:eastAsia="Times New Roman" w:hAnsi="Times New Roman"/>
          <w:sz w:val="28"/>
          <w:szCs w:val="28"/>
        </w:rPr>
        <w:t xml:space="preserve">Побудова індексованої сітки передбачає перехід від локального подання кожного елемента до глобального подання всієї сітки через словник key_to_node_number, ключем якого слугує пара округлених координат. Якщо ключ ще не зустрічався, точці присвоюється черговий номер; якщо зустрічався — повертається вже присвоєний номер. Саме цей механізм дедуплікації забезпечує єдину, наскрізну нумерацію вузлів для області разом із включеннями.</w:t>
      </w:r>
    </w:p>
    <w:p>
      <w:pPr>
        <w:spacing w:after="120" w:line="360" w:lineRule="auto"/>
        <w:ind w:firstLine="720"/>
        <w:jc w:val="both"/>
      </w:pPr>
      <w:r>
        <w:rPr>
          <w:rFonts w:ascii="Times New Roman" w:cs="Times New Roman" w:eastAsia="Times New Roman" w:hAnsi="Times New Roman"/>
          <w:sz w:val="28"/>
          <w:szCs w:val="28"/>
        </w:rPr>
        <w:t xml:space="preserve">Після первинного присвоєння номерів функція renumber_triangles() виконує додаткове впорядкування елементів, застосовуючи стійке сортування, що гарантує відтворюваність нумерації для довільної, у тому числі багатозв'язної, вхідної області.</w:t>
      </w:r>
    </w:p>
    <w:p>
      <w:pPr>
        <w:pStyle w:val="Heading2"/>
        <w:spacing w:after="160" w:before="200"/>
        <w:jc w:val="left"/>
      </w:pPr>
      <w:r>
        <w:rPr>
          <w:rFonts w:ascii="Times New Roman" w:cs="Times New Roman" w:eastAsia="Times New Roman" w:hAnsi="Times New Roman"/>
          <w:b/>
          <w:bCs/>
          <w:sz w:val="28"/>
          <w:szCs w:val="28"/>
        </w:rPr>
        <w:t xml:space="preserve">3.4. Серіалізація результатів у форматах JSON, OBJ, PLY, VTK</w:t>
      </w:r>
    </w:p>
    <w:p>
      <w:pPr>
        <w:spacing w:after="120" w:line="360" w:lineRule="auto"/>
        <w:ind w:firstLine="720"/>
        <w:jc w:val="both"/>
      </w:pPr>
      <w:r>
        <w:rPr>
          <w:rFonts w:ascii="Times New Roman" w:cs="Times New Roman" w:eastAsia="Times New Roman" w:hAnsi="Times New Roman"/>
          <w:sz w:val="28"/>
          <w:szCs w:val="28"/>
        </w:rPr>
        <w:t xml:space="preserve">Серіалізація результату здійснюється окремими методами: експорт трикутників формує запис із номером, ступенем елемента (завжди лінійним), номерами й координатами вузлів та площею; експорт вузлів формує запис із номером, координатами та текстовою міткою типу вузла; окремо експортується статистика сітки — кількість вузлів і трикутників, ширина стрічки, метрики якості.</w:t>
      </w:r>
    </w:p>
    <w:p>
      <w:pPr>
        <w:spacing w:after="120" w:line="360" w:lineRule="auto"/>
        <w:ind w:firstLine="720"/>
        <w:jc w:val="both"/>
      </w:pPr>
      <w:r>
        <w:rPr>
          <w:rFonts w:ascii="Times New Roman" w:cs="Times New Roman" w:eastAsia="Times New Roman" w:hAnsi="Times New Roman"/>
          <w:sz w:val="28"/>
          <w:szCs w:val="28"/>
        </w:rPr>
        <w:t xml:space="preserve">Незалежно від JSON реалізовано експорт сітки у трьох текстових геометричних форматах — OBJ, PLY та VTK, — призначених для перегляду в зовнішніх спеціалізованих програмах; в усіх трьох зберігається виключно геометрія та топологія елементів, без логічної класифікації вузлів. Результат тріангуляції у форматі JSON, як і у трьох інших форматах, зберігається стандартними засобами Python, без залучення додаткових бібліотек серіалізації.</w:t>
      </w:r>
    </w:p>
    <w:p>
      <w:pPr>
        <w:pStyle w:val="Heading1"/>
        <w:pageBreakBefore/>
        <w:spacing w:after="240" w:before="240"/>
        <w:jc w:val="left"/>
      </w:pPr>
      <w:r>
        <w:rPr>
          <w:rFonts w:ascii="Times New Roman" w:cs="Times New Roman" w:eastAsia="Times New Roman" w:hAnsi="Times New Roman"/>
          <w:b/>
          <w:bCs/>
          <w:sz w:val="28"/>
          <w:szCs w:val="28"/>
        </w:rPr>
        <w:t xml:space="preserve">РОЗДІЛ 4. ПІДХОДИ ДО ТЕСТУВАННЯ ТА ПЛАН ПОДАЛЬШОГО ДОСЛІДЖЕННЯ</w:t>
      </w:r>
    </w:p>
    <w:p>
      <w:pPr>
        <w:pStyle w:val="Heading2"/>
        <w:spacing w:after="160" w:before="200"/>
        <w:jc w:val="left"/>
      </w:pPr>
      <w:r>
        <w:rPr>
          <w:rFonts w:ascii="Times New Roman" w:cs="Times New Roman" w:eastAsia="Times New Roman" w:hAnsi="Times New Roman"/>
          <w:b/>
          <w:bCs/>
          <w:sz w:val="28"/>
          <w:szCs w:val="28"/>
        </w:rPr>
        <w:t xml:space="preserve">4.1. Організація тестового набору проєкту</w:t>
      </w:r>
    </w:p>
    <w:p>
      <w:pPr>
        <w:spacing w:after="120" w:line="360" w:lineRule="auto"/>
        <w:ind w:firstLine="720"/>
        <w:jc w:val="both"/>
      </w:pPr>
      <w:r>
        <w:rPr>
          <w:rFonts w:ascii="Times New Roman" w:cs="Times New Roman" w:eastAsia="Times New Roman" w:hAnsi="Times New Roman"/>
          <w:sz w:val="28"/>
          <w:szCs w:val="28"/>
        </w:rPr>
        <w:t xml:space="preserve">Тестування побудоване на стандартному модулі unittest, без додаткових фреймворків на кшталт pytest [7]. Тестовий набір нараховує близько 30 файлів і 270 окремих тестів. Автоматичного інструментального виміру відсотка покриття коду тестами в проєкті немає — оцінка повноти тестування ґрунтується на тому, які теми й сценарії покриті тестами, а не на кількісному показнику.</w:t>
      </w:r>
    </w:p>
    <w:p>
      <w:pPr>
        <w:pStyle w:val="Heading2"/>
        <w:spacing w:after="160" w:before="200"/>
        <w:jc w:val="left"/>
      </w:pPr>
      <w:r>
        <w:rPr>
          <w:rFonts w:ascii="Times New Roman" w:cs="Times New Roman" w:eastAsia="Times New Roman" w:hAnsi="Times New Roman"/>
          <w:b/>
          <w:bCs/>
          <w:sz w:val="28"/>
          <w:szCs w:val="28"/>
        </w:rPr>
        <w:t xml:space="preserve">4.2. Категорії тестових сценаріїв</w:t>
      </w:r>
    </w:p>
    <w:p>
      <w:pPr>
        <w:spacing w:after="120" w:line="360" w:lineRule="auto"/>
        <w:ind w:firstLine="720"/>
        <w:jc w:val="both"/>
      </w:pPr>
      <w:r>
        <w:rPr>
          <w:rFonts w:ascii="Times New Roman" w:cs="Times New Roman" w:eastAsia="Times New Roman" w:hAnsi="Times New Roman"/>
          <w:sz w:val="28"/>
          <w:szCs w:val="28"/>
        </w:rPr>
        <w:t xml:space="preserve">Тести розподілені за такими темами: базові геометричні класи та структури даних, сам алгоритм побудови сітки, обробка й перевірка вхідних контурів, визначення вкладеності отворів та включень, імпорт і експорт даних, згладжування та перенумерування вузлів після побудови, а також інтеграційні сценарії, що перевіряють повний шлях від зображення чи намальованого контуру до готової сітки.</w:t>
      </w:r>
    </w:p>
    <w:p>
      <w:pPr>
        <w:spacing w:after="120" w:line="360" w:lineRule="auto"/>
        <w:ind w:firstLine="720"/>
        <w:jc w:val="both"/>
      </w:pPr>
      <w:r>
        <w:rPr>
          <w:rFonts w:ascii="Times New Roman" w:cs="Times New Roman" w:eastAsia="Times New Roman" w:hAnsi="Times New Roman"/>
          <w:sz w:val="28"/>
          <w:szCs w:val="28"/>
        </w:rPr>
        <w:t xml:space="preserve">Окремою групою виділені тести на випадки, які раніше вже спричиняли помилки, — наприклад, побудова сітки з кількома отворами й розрізами одночасно, — щоб такі помилки не повторювались при подальших змінах коду.</w:t>
      </w:r>
    </w:p>
    <w:p>
      <w:pPr>
        <w:pStyle w:val="Heading2"/>
        <w:spacing w:after="160" w:before="200"/>
        <w:jc w:val="left"/>
      </w:pPr>
      <w:r>
        <w:rPr>
          <w:rFonts w:ascii="Times New Roman" w:cs="Times New Roman" w:eastAsia="Times New Roman" w:hAnsi="Times New Roman"/>
          <w:b/>
          <w:bCs/>
          <w:sz w:val="28"/>
          <w:szCs w:val="28"/>
        </w:rPr>
        <w:t xml:space="preserve">4.3. Обмеження поточної реалізації</w:t>
      </w:r>
    </w:p>
    <w:p>
      <w:pPr>
        <w:spacing w:after="120" w:line="360" w:lineRule="auto"/>
        <w:ind w:firstLine="720"/>
        <w:jc w:val="both"/>
      </w:pPr>
      <w:r>
        <w:rPr>
          <w:rFonts w:ascii="Times New Roman" w:cs="Times New Roman" w:eastAsia="Times New Roman" w:hAnsi="Times New Roman"/>
          <w:sz w:val="28"/>
          <w:szCs w:val="28"/>
        </w:rPr>
        <w:t xml:space="preserve">Керування залежностями проєкту виконується без окремого інструменту пакування, а конфігурація неперервної інтеграції відсутня. Прийняте архітектурне рішення про єдину глобальну нумерацію вузлів без дублювання номера на межі спряження спрощує модель даних, але накладає обмеження на моделювання розриву функції безпосередньо на такій межі — ця можливість потребує окремого доопрацювання. Відсутність інструментального виміру покриття коду тестами також є обмеженням поточного процесу розробки, яке варто врахувати при подальшому розширенні тестового набору.</w:t>
      </w:r>
    </w:p>
    <w:p>
      <w:pPr>
        <w:pStyle w:val="Heading2"/>
        <w:spacing w:after="160" w:before="200"/>
        <w:jc w:val="left"/>
      </w:pPr>
      <w:r>
        <w:rPr>
          <w:rFonts w:ascii="Times New Roman" w:cs="Times New Roman" w:eastAsia="Times New Roman" w:hAnsi="Times New Roman"/>
          <w:b/>
          <w:bCs/>
          <w:sz w:val="28"/>
          <w:szCs w:val="28"/>
        </w:rPr>
        <w:t xml:space="preserve">4.4. Плани подальшого дослідження в межах кваліфікаційної роботи</w:t>
      </w:r>
    </w:p>
    <w:p>
      <w:pPr>
        <w:spacing w:after="120" w:line="360" w:lineRule="auto"/>
        <w:ind w:firstLine="720"/>
        <w:jc w:val="both"/>
      </w:pPr>
      <w:r>
        <w:rPr>
          <w:rFonts w:ascii="Times New Roman" w:cs="Times New Roman" w:eastAsia="Times New Roman" w:hAnsi="Times New Roman"/>
          <w:sz w:val="28"/>
          <w:szCs w:val="28"/>
        </w:rPr>
        <w:t xml:space="preserve">Здобуті в ході практики результати — опис предметної області, структур даних і технологічного стеку — формують основу для подальшого дослідження алгоритмічної частини проєкту в межах кваліфікаційної роботи. Планується детальніше дослідити безпосередньо алгоритм методу рухомого фронту, підходи до обробки включень і розрізів під час просування фронту, а також механізм перенумерування вузлів. Окремим напрямом подальшої роботи є дослідження інтерфейсу користувача програмної системи.</w:t>
      </w:r>
    </w:p>
    <w:p>
      <w:pPr>
        <w:pStyle w:val="Heading1"/>
        <w:pageBreakBefore/>
        <w:spacing w:after="240" w:before="240"/>
        <w:jc w:val="left"/>
      </w:pPr>
      <w:r>
        <w:rPr>
          <w:rFonts w:ascii="Times New Roman" w:cs="Times New Roman" w:eastAsia="Times New Roman" w:hAnsi="Times New Roman"/>
          <w:b/>
          <w:bCs/>
          <w:sz w:val="28"/>
          <w:szCs w:val="28"/>
        </w:rPr>
        <w:t xml:space="preserve">ВИСНОВКИ</w:t>
      </w:r>
    </w:p>
    <w:p>
      <w:pPr>
        <w:spacing w:after="120" w:line="360" w:lineRule="auto"/>
        <w:ind w:firstLine="720"/>
        <w:jc w:val="both"/>
      </w:pPr>
      <w:r>
        <w:rPr>
          <w:rFonts w:ascii="Times New Roman" w:cs="Times New Roman" w:eastAsia="Times New Roman" w:hAnsi="Times New Roman"/>
          <w:sz w:val="28"/>
          <w:szCs w:val="28"/>
        </w:rPr>
        <w:t xml:space="preserve">У ході проходження практики досліджено предметну область задачі тріангуляції плоских областей із включеннями та розрізами на прикладі проєкту afm_mesher. Встановлено, що актуальність задачі обумовлена наявністю внутрішніх геометричних неоднорідностей — площинних включень і лінійних розрізів — у широкому колі прикладних задач, від методу скінченних елементів до аналізу геопросторових і медичних даних, та відсутністю в наявних підходах явного розрізнення ролі кожного типу внутрішнього контуру в межах єдиного обчислювального конвеєра.</w:t>
      </w:r>
    </w:p>
    <w:p>
      <w:pPr>
        <w:spacing w:after="120" w:line="360" w:lineRule="auto"/>
        <w:ind w:firstLine="720"/>
        <w:jc w:val="both"/>
      </w:pPr>
      <w:r>
        <w:rPr>
          <w:rFonts w:ascii="Times New Roman" w:cs="Times New Roman" w:eastAsia="Times New Roman" w:hAnsi="Times New Roman"/>
          <w:sz w:val="28"/>
          <w:szCs w:val="28"/>
        </w:rPr>
        <w:t xml:space="preserve">Проаналізовано базові структури даних проєкту: геометричні класи Point, Triangle та похідний від нього LinearTriangle, що додає топологічну нумерацію та коефіцієнти лінійних базисних функцій; класи Mesh та IndexedMesh, що забезпечують перехід від набору геометричних трикутників до наскрізно пронумерованої сітки через механізм дедуплікації вузлів за округленими координатами. Показано, що логічна роль вузла (внутрішній, межовий, вузол спряження) визначається не окремим статичним атрибутом, а обчислюється за запитом на основі належності до відповідних множин номерів, із фіксованим пріоритетом класифікації. Розглянуто прийняте в проєкті рішення про єдину глобальну нумерацію вузлів без подвоєння номерів на межі спряження — рішення, що спрощує модель даних, але накладає обмеження на моделювання розриву функції безпосередньо на такій межі.</w:t>
      </w:r>
    </w:p>
    <w:p>
      <w:pPr>
        <w:spacing w:after="120" w:line="360" w:lineRule="auto"/>
        <w:ind w:firstLine="720"/>
        <w:jc w:val="both"/>
      </w:pPr>
      <w:r>
        <w:rPr>
          <w:rFonts w:ascii="Times New Roman" w:cs="Times New Roman" w:eastAsia="Times New Roman" w:hAnsi="Times New Roman"/>
          <w:sz w:val="28"/>
          <w:szCs w:val="28"/>
        </w:rPr>
        <w:t xml:space="preserve">Визначено технологічний стек реалізації: мову Python без формально зафіксованої мінімальної версії; бібліотеки Shapely та NumPy для обчислювальної геометрії; Pillow та Matplotlib для роботи з растровими зображеннями та візуалізації; PySide6 для графічного інтерфейсу користувача. Встановлено, що керування залежностями виконується без окремого інструменту пакування, а тестування побудоване на стандартному модулі unittest без інструментального виміру покриття коду та без конфігурації неперервної інтеграції.</w:t>
      </w:r>
    </w:p>
    <w:p>
      <w:pPr>
        <w:spacing w:after="120" w:line="360" w:lineRule="auto"/>
        <w:ind w:firstLine="720"/>
        <w:jc w:val="both"/>
      </w:pPr>
      <w:r>
        <w:rPr>
          <w:rFonts w:ascii="Times New Roman" w:cs="Times New Roman" w:eastAsia="Times New Roman" w:hAnsi="Times New Roman"/>
          <w:sz w:val="28"/>
          <w:szCs w:val="28"/>
        </w:rPr>
        <w:t xml:space="preserve">Узагальнено структуру репозиторію за архітектурними шарами — прикладний рівень, рівень предметної області, інфраструктурний рівень та рівень подання, — що відображає поділ відповідальності між обчислювальним ядром методу рухомого фронту та рівнем графічного інтерфейсу.</w:t>
      </w:r>
    </w:p>
    <w:p>
      <w:pPr>
        <w:spacing w:after="120" w:line="360" w:lineRule="auto"/>
        <w:ind w:firstLine="720"/>
        <w:jc w:val="both"/>
      </w:pPr>
      <w:r>
        <w:rPr>
          <w:rFonts w:ascii="Times New Roman" w:cs="Times New Roman" w:eastAsia="Times New Roman" w:hAnsi="Times New Roman"/>
          <w:sz w:val="28"/>
          <w:szCs w:val="28"/>
        </w:rPr>
        <w:t xml:space="preserve">Здобуті в ході практики результати — опис предметної області, структур даних і технологічного стеку — формують основу для подальшого дослідження алгоритмічної частини проєкту (метод рухомого фронту, обробка включень і розрізів, перенумерування вузлів) та інтерфейсу користувача в межах кваліфікаційної роботи.</w:t>
      </w:r>
    </w:p>
    <w:p>
      <w:pPr>
        <w:pStyle w:val="Heading1"/>
        <w:pageBreakBefore/>
        <w:spacing w:after="240" w:before="240"/>
        <w:jc w:val="left"/>
      </w:pPr>
      <w:r>
        <w:rPr>
          <w:rFonts w:ascii="Times New Roman" w:cs="Times New Roman" w:eastAsia="Times New Roman" w:hAnsi="Times New Roman"/>
          <w:b/>
          <w:bCs/>
          <w:sz w:val="28"/>
          <w:szCs w:val="28"/>
        </w:rPr>
        <w:t xml:space="preserve">СПИСОК ВИКОРИСТАНИХ ДЖЕРЕЛ</w:t>
      </w:r>
    </w:p>
    <w:p>
      <w:pPr>
        <w:spacing w:after="80" w:line="360" w:lineRule="auto"/>
        <w:ind w:left="431" w:hanging="431"/>
        <w:jc w:val="both"/>
      </w:pPr>
      <w:r>
        <w:rPr>
          <w:rFonts w:ascii="Times New Roman" w:cs="Times New Roman" w:eastAsia="Times New Roman" w:hAnsi="Times New Roman"/>
          <w:sz w:val="28"/>
          <w:szCs w:val="28"/>
        </w:rPr>
        <w:t>1. Lo S. H. A new mesh generation scheme for arbitrary planar domains. International Journal for Numerical Methods in Engineering. 1985. Vol. 21, No. 8. P. 1403–1426. DOI: 10.1002/nme.1620210805. URL: https://doi.org/10.1002/nme.1620210805 (дата звернення: 13.09.2026).</w:t>
      </w:r>
    </w:p>
    <w:p>
      <w:pPr>
        <w:spacing w:after="80" w:line="360" w:lineRule="auto"/>
        <w:ind w:left="431" w:hanging="431"/>
        <w:jc w:val="both"/>
      </w:pPr>
      <w:r>
        <w:rPr>
          <w:rFonts w:ascii="Times New Roman" w:cs="Times New Roman" w:eastAsia="Times New Roman" w:hAnsi="Times New Roman"/>
          <w:sz w:val="28"/>
          <w:szCs w:val="28"/>
        </w:rPr>
        <w:t>2. Shapely Documentation. User Manual and API Reference. Shapely project documentation. URL: https://shapely.readthedocs.io/ (дата звернення: 13.09.2026).</w:t>
      </w:r>
    </w:p>
    <w:p>
      <w:pPr>
        <w:spacing w:after="80" w:line="360" w:lineRule="auto"/>
        <w:ind w:left="431" w:hanging="431"/>
        <w:jc w:val="both"/>
      </w:pPr>
      <w:r>
        <w:rPr>
          <w:rFonts w:ascii="Times New Roman" w:cs="Times New Roman" w:eastAsia="Times New Roman" w:hAnsi="Times New Roman"/>
          <w:sz w:val="28"/>
          <w:szCs w:val="28"/>
        </w:rPr>
        <w:t>3. NumPy Documentation. NumPy User Guide and API Reference. NumPy Developers. URL: https://numpy.org/doc/ (дата звернення: 13.09.2026).</w:t>
      </w:r>
    </w:p>
    <w:p>
      <w:pPr>
        <w:spacing w:after="80" w:line="360" w:lineRule="auto"/>
        <w:ind w:left="431" w:hanging="431"/>
        <w:jc w:val="both"/>
      </w:pPr>
      <w:r>
        <w:rPr>
          <w:rFonts w:ascii="Times New Roman" w:cs="Times New Roman" w:eastAsia="Times New Roman" w:hAnsi="Times New Roman"/>
          <w:sz w:val="28"/>
          <w:szCs w:val="28"/>
        </w:rPr>
        <w:t>4. Pillow Documentation. Pillow Python Imaging Library Handbook. Pillow contributors. URL: https://pillow.readthedocs.io/ (дата звернення: 13.09.2026).</w:t>
      </w:r>
    </w:p>
    <w:p>
      <w:pPr>
        <w:spacing w:after="80" w:line="360" w:lineRule="auto"/>
        <w:ind w:left="431" w:hanging="431"/>
        <w:jc w:val="both"/>
      </w:pPr>
      <w:r>
        <w:rPr>
          <w:rFonts w:ascii="Times New Roman" w:cs="Times New Roman" w:eastAsia="Times New Roman" w:hAnsi="Times New Roman"/>
          <w:sz w:val="28"/>
          <w:szCs w:val="28"/>
        </w:rPr>
        <w:t>5. Matplotlib Documentation. Matplotlib Stable Documentation. Matplotlib Development Team. URL: https://matplotlib.org/stable/ (дата звернення: 13.09.2026).</w:t>
      </w:r>
    </w:p>
    <w:p>
      <w:pPr>
        <w:spacing w:after="80" w:line="360" w:lineRule="auto"/>
        <w:ind w:left="431" w:hanging="431"/>
        <w:jc w:val="both"/>
      </w:pPr>
      <w:r>
        <w:rPr>
          <w:rFonts w:ascii="Times New Roman" w:cs="Times New Roman" w:eastAsia="Times New Roman" w:hAnsi="Times New Roman"/>
          <w:sz w:val="28"/>
          <w:szCs w:val="28"/>
        </w:rPr>
        <w:t>6. Qt for Python Documentation. PySide6 Documentation. The Qt Company. URL: https://doc.qt.io/qtforpython-6/ (дата звернення: 13.09.2026).</w:t>
      </w:r>
    </w:p>
    <w:p>
      <w:pPr>
        <w:spacing w:after="80" w:line="360" w:lineRule="auto"/>
        <w:ind w:left="431" w:hanging="431"/>
        <w:jc w:val="both"/>
      </w:pPr>
      <w:r>
        <w:rPr>
          <w:rFonts w:ascii="Times New Roman" w:cs="Times New Roman" w:eastAsia="Times New Roman" w:hAnsi="Times New Roman"/>
          <w:sz w:val="28"/>
          <w:szCs w:val="28"/>
        </w:rPr>
        <w:t>7. Python Software Foundation. unittest — Unit testing framework. Python 3 Standard Library Documentation. URL: https://docs.python.org/3/library/unittest.html (дата звернення: 13.09.2026).</w:t>
      </w:r>
    </w:p>
    <w:p>
      <w:pPr>
        <w:spacing w:after="80" w:line="360" w:lineRule="auto"/>
        <w:ind w:left="431" w:hanging="431"/>
        <w:jc w:val="both"/>
      </w:pPr>
      <w:r>
        <w:rPr>
          <w:rFonts w:ascii="Times New Roman" w:cs="Times New Roman" w:eastAsia="Times New Roman" w:hAnsi="Times New Roman"/>
          <w:sz w:val="28"/>
          <w:szCs w:val="28"/>
        </w:rPr>
        <w:t>8. Python Software Foundation. json — JSON encoder and decoder. Python 3 Standard Library Documentation. URL: https://docs.python.org/3/library/json.html (дата звернення: 13.09.2026).</w:t>
      </w:r>
    </w:p>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2026-09-09T17:30:22.992Z</dcterms:created>
  <dcterms:modified xsi:type="dcterms:W3CDTF">2026-09-09T17:30:22.992Z</dcterms:modified>
</cp:coreProperties>
</file>

<file path=docProps/custom.xml><?xml version="1.0" encoding="utf-8"?>
<Properties xmlns="http://schemas.openxmlformats.org/officeDocument/2006/custom-properties" xmlns:vt="http://schemas.openxmlformats.org/officeDocument/2006/docPropsVTypes"/>
</file>