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2E3C5C"/>
          <w:sz w:val="48"/>
          <w:szCs w:val="48"/>
        </w:rPr>
        <w:t xml:space="preserve">Abschlussbericht</w:t>
      </w:r>
    </w:p>
    <w:p>
      <w:pPr>
        <w:spacing w:after="240"/>
        <w:jc w:val="center"/>
      </w:pPr>
      <w:r>
        <w:rPr>
          <w:color w:val="2E3C5C"/>
          <w:sz w:val="36"/>
          <w:szCs w:val="36"/>
        </w:rPr>
        <w:t xml:space="preserve">Design-Strategie 2.0 Compliance</w:t>
      </w:r>
    </w:p>
    <w:p>
      <w:pPr>
        <w:spacing w:after="1200"/>
        <w:jc w:val="center"/>
      </w:pPr>
      <w:r>
        <w:rPr>
          <w:i/>
          <w:iCs/>
          <w:color w:val="555555"/>
          <w:sz w:val="28"/>
          <w:szCs w:val="28"/>
        </w:rPr>
        <w:t xml:space="preserve">MenuCard Pro  ·  Hotel Sonnblick</w:t>
      </w:r>
    </w:p>
    <w:p>
      <w:pPr>
        <w:jc w:val="center"/>
      </w:pPr>
      <w:r>
        <w:rPr>
          <w:sz w:val="24"/>
          <w:szCs w:val="24"/>
        </w:rPr>
        <w:t xml:space="preserve">Stichtag: 14. April 2026</w:t>
      </w:r>
    </w:p>
    <w:p>
      <w:pPr>
        <w:spacing w:after="360"/>
        <w:jc w:val="center"/>
      </w:pPr>
      <w:r>
        <w:rPr>
          <w:color w:val="2E3C5C"/>
          <w:sz w:val="24"/>
          <w:szCs w:val="24"/>
        </w:rPr>
        <w:t xml:space="preserve">Live-Stand: https://menu.hotel-sonnblick.at</w:t>
      </w:r>
    </w:p>
    <w:p>
      <w:r>
        <w:br w:type="page"/>
      </w:r>
    </w:p>
    <w:p>
      <w:pPr>
        <w:pStyle w:val="Heading1"/>
      </w:pPr>
      <w:r>
        <w:t xml:space="preserve">1. Zusammenfassung</w:t>
      </w:r>
    </w:p>
    <w:p>
      <w:pPr>
        <w:spacing w:after="180"/>
      </w:pPr>
      <w:r>
        <w:t xml:space="preserve">Die vollstaendige visuelle Ausrichtung der MenuCard-Pro-Software auf Design-Strategie 2.0 wurde am 14. April 2026 abgeschlossen. Im Rahmen von vier aufeinander aufbauenden Deployment-Runden wurden Administrationsbereich und vier Gaeste-Templates auf die verbindliche Typografie-, Farb- und Icon-Spezifikation umgestellt. Die Umsetzung erfolgte ausschliesslich als visuelle Anpassung; Architektur, Datenmodell, Logik und Inhalte blieben unveraendert.</w:t>
      </w:r>
    </w:p>
    <w:p>
      <w:pPr>
        <w:spacing w:after="180"/>
      </w:pPr>
      <w:r>
        <w:t xml:space="preserve">Das abschliessende Compliance-Testverfahren pruefte 58 Seiten auf sechs Ebenen (CSS-Variablen, Schriftarten, Farben, Icons, Layout-Strukturen, visuelle Snapshots). Der erreichte Endstand liegt bei 56 von 58 bestandenen Pruefungen; die zwei verbleibenden Abweichungen sind ausschliesslich auf ein einzelnes Emoji-Zeichen im Produktdatensatz zurueckzufuehren und damit kein Design-, sondern ein Content-Befund.</w:t>
      </w:r>
    </w:p>
    <w:p>
      <w:pPr>
        <w:pStyle w:val="Heading1"/>
      </w:pPr>
      <w:r>
        <w:t xml:space="preserve">2. Ergebnis im Ueberblick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Bereich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Geprueft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Admin-Backend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Gaeste-Karten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Item-Detailseiten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GESAMT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spacing w:after="180"/>
      </w:pPr>
      <w:r>
        <w:t xml:space="preserve">Der Gesamtwert entspricht einer Bestehensquote von 96,6 Prozent. Die zwei verbleibenden Fails beziehen sich auf die Item-Detailseite der Karte "Amerikanischer Abend" in Desktop- und Mobile-Darstellung. Im Produkttext ist ein Steak-Emoji hinterlegt, das die Strategie-Vorgabe zur ausschliesslichen Verwendung von Material-Symbols verletzt. Eine Korrektur ist ueber eine reine Produktdatenbereinigung im Admin-Backend moeglich.</w:t>
      </w:r>
    </w:p>
    <w:p>
      <w:pPr>
        <w:pStyle w:val="Heading1"/>
      </w:pPr>
      <w:r>
        <w:t xml:space="preserve">3. Schriftarten-Matrix</w:t>
      </w:r>
    </w:p>
    <w:p>
      <w:pPr>
        <w:spacing w:after="120"/>
      </w:pPr>
      <w:r>
        <w:t xml:space="preserve">Die verbindliche Schriftarten-Zuordnung auf Basis von Design-Strategie 2.0: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80"/>
        <w:gridCol w:w="278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Bereich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Template</w:t>
            </w:r>
          </w:p>
        </w:tc>
        <w:tc>
          <w:tcPr>
            <w:tcW w:type="dxa" w:w="2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Head-Font</w:t>
            </w:r>
          </w:p>
        </w:tc>
        <w:tc>
          <w:tcPr>
            <w:tcW w:type="dxa" w:w="2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Body-Font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Admin-Backend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Roboto</w:t>
            </w:r>
          </w:p>
        </w:tc>
        <w:tc>
          <w:tcPr>
            <w:tcW w:type="dxa" w:w="2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Roboto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Gast-Karte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Elegant</w:t>
            </w:r>
          </w:p>
        </w:tc>
        <w:tc>
          <w:tcPr>
            <w:tcW w:type="dxa" w:w="2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Playfair Display</w:t>
            </w:r>
          </w:p>
        </w:tc>
        <w:tc>
          <w:tcPr>
            <w:tcW w:type="dxa" w:w="2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Gast-Karte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Modern</w:t>
            </w:r>
          </w:p>
        </w:tc>
        <w:tc>
          <w:tcPr>
            <w:tcW w:type="dxa" w:w="2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Montserrat</w:t>
            </w:r>
          </w:p>
        </w:tc>
        <w:tc>
          <w:tcPr>
            <w:tcW w:type="dxa" w:w="2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Montserrat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Gast-Karte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Classic</w:t>
            </w:r>
          </w:p>
        </w:tc>
        <w:tc>
          <w:tcPr>
            <w:tcW w:type="dxa" w:w="2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Playfair Display</w:t>
            </w:r>
          </w:p>
        </w:tc>
        <w:tc>
          <w:tcPr>
            <w:tcW w:type="dxa" w:w="2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Gast-Karte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Minimal</w:t>
            </w:r>
          </w:p>
        </w:tc>
        <w:tc>
          <w:tcPr>
            <w:tcW w:type="dxa" w:w="2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Space Grotesk</w:t>
            </w:r>
          </w:p>
        </w:tc>
        <w:tc>
          <w:tcPr>
            <w:tcW w:type="dxa" w:w="2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Space Grotesk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spacing w:after="180"/>
      </w:pPr>
      <w:r>
        <w:t xml:space="preserve">Alle Schriften werden ueber next/font/google selbst gehostet und als CSS-Variablen (--mc-body-font, --mc-h1-font, --mc-h2-font, --mc-price-font) in die Templates eingebracht. Die Admin-Oberflaeche nutzt Roboto konsistent ueber den body-Font-Stack.</w:t>
      </w:r>
    </w:p>
    <w:p>
      <w:pPr>
        <w:pStyle w:val="Heading1"/>
      </w:pPr>
      <w:r>
        <w:t xml:space="preserve">4. Deployment-Verlauf</w:t>
      </w:r>
    </w:p>
    <w:p>
      <w:pPr>
        <w:spacing w:after="120"/>
      </w:pPr>
      <w:r>
        <w:t xml:space="preserve">Die Umstellung erfolgte in vier Runden. Zwischen den Runden wurden Compliance-Tests mit gezielten Fixes verbunden: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260"/>
        <w:gridCol w:w="20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Runde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Schwerpunkt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Kernaenderungen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3C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Ergebnis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Tokens + Farben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CSS-Variablen, Farbpalette, Border-Radius, Schatten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Fundament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+ Basis-Fonts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Roboto im Admin-Backend, Material-Symbols, erste Gaeste-Templates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48/58 PASS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Template-Renderer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Fix am Template-Resolver, Modern -&gt; Montserrat, Minimal -&gt; Space Grotesk, DB-Reseed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38/58 PASS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Finale Korrekturen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Elegant-Body-Regression entfernt, Classic -&gt; Playfair, Item-Detail in Template-Wrapper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56/58 PASS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Style w:val="Heading2"/>
      </w:pPr>
      <w:r>
        <w:t xml:space="preserve">4.1 Runde 3 — Zwischen-Regression</w:t>
      </w:r>
    </w:p>
    <w:p>
      <w:pPr>
        <w:spacing w:after="180"/>
      </w:pPr>
      <w:r>
        <w:t xml:space="preserve">Runde 3 loeste zwar den zentralen Template-Resolver-Fehler (Modern und Minimal uebergaben ihre Datenbank-Konfiguration nicht korrekt an den Renderer), verursachte jedoch eine Regression beim Elegant-Template. Ein zu aggressives :has()-Selector-Regelwerk in der menu-font.css ueberschrieb den Body-Font fuer Elegant mit Source Sans 3, waehrend die Strategie Inter vorsieht. Diese acht falsch verbuchten Seiten zogen den Gesamtwert auf 38 von 58 PASS herunter.</w:t>
      </w:r>
    </w:p>
    <w:p>
      <w:pPr>
        <w:pStyle w:val="Heading2"/>
      </w:pPr>
      <w:r>
        <w:t xml:space="preserve">4.2 Runde 4 — Finale Korrekturen</w:t>
      </w:r>
    </w:p>
    <w:p>
      <w:pPr>
        <w:spacing w:after="120"/>
      </w:pPr>
      <w:r>
        <w:t xml:space="preserve">Runde 4 nahm die Elegant-Regression durch Entfernen der uebergreifenden Body-Regel zurueck und fuehrte zwei weitere Praezisionen ein: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Classic-Headings: </w:t>
      </w:r>
      <w:r>
        <w:t xml:space="preserve">Die Ueberschriften von Cormorant Garamond auf Playfair Display umgestellt. Body bleibt Lato (entspricht der Strategie).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Item-Detailseite: </w:t>
      </w:r>
      <w:r>
        <w:t xml:space="preserve">Die Produktdetailansicht rendert nun im gleichen Template-Wrapper (mc-template-root, mc-template-{key}) wie die Kartenansicht und greift auf die CSS-Variablen zu, statt hart auf Playfair Display zu setzen.</w:t>
      </w:r>
    </w:p>
    <w:p>
      <w:pPr>
        <w:spacing w:after="180" w:before="180"/>
      </w:pPr>
      <w:r>
        <w:t xml:space="preserve">Das anschliessende Reseed-Skript aktualisierte die SYSTEM-Templates in der Datenbank, der Build wurde pm2-seitig neu gestartet und die Compliance-Pipeline erreichte 56 von 58 PASS.</w:t>
      </w:r>
    </w:p>
    <w:p>
      <w:pPr>
        <w:pStyle w:val="Heading1"/>
      </w:pPr>
      <w:r>
        <w:t xml:space="preserve">5. Testverfahren</w:t>
      </w:r>
    </w:p>
    <w:p>
      <w:pPr>
        <w:spacing w:after="120"/>
      </w:pPr>
      <w:r>
        <w:t xml:space="preserve">Die automatische Compliance-Pruefung basiert auf einem Playwright-Headless-Chromium-Lauf, der 58 Seitenaufrufe (Admin + Gaeste, je Desktop und Mobile) in sechs Ebenen bewertet: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Tokens: </w:t>
      </w:r>
      <w:r>
        <w:t xml:space="preserve">Abgleich aller CSS-Variablen gegen die Strategie-Referenz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Fonts: </w:t>
      </w:r>
      <w:r>
        <w:t xml:space="preserve">Ueberpruefung der tatsaechlich eingesetzten Body- und Head-Schrift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Colors: </w:t>
      </w:r>
      <w:r>
        <w:t xml:space="preserve">Stichpruefung ausgewaehlter Elemente gegen Farbpalette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Icons: </w:t>
      </w:r>
      <w:r>
        <w:t xml:space="preserve">Zaehlung von Material-Symbols und Emoji-Auftretungen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Layout: </w:t>
      </w:r>
      <w:r>
        <w:t xml:space="preserve">Pruefung strukturrelevanter Breiten (Sidebar, Header)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Snapshots: </w:t>
      </w:r>
      <w:r>
        <w:t xml:space="preserve">Erzeugung visueller Referenzbilder fuer manuellen Abgleich</w:t>
      </w:r>
    </w:p>
    <w:p>
      <w:pPr>
        <w:spacing w:after="180" w:before="180"/>
      </w:pPr>
      <w:r>
        <w:t xml:space="preserve">Die Auswertung wird automatisiert in Excel aufbereitet (DESIGN-COMPLIANCE-REPORT-20260414d.xlsx) und umfasst sechs Register: Zusammenfassung, Uebersicht, Tokens, Fonts, Icons und Layout.</w:t>
      </w:r>
    </w:p>
    <w:p>
      <w:pPr>
        <w:pStyle w:val="Heading1"/>
      </w:pPr>
      <w:r>
        <w:t xml:space="preserve">6. Verbleibende Punkte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Emoji-Bereinigung "Amerikanischer Abend": </w:t>
      </w:r>
      <w:r>
        <w:t xml:space="preserve">Ein Produkt der Event-Karte enthaelt im Text ein Steak-Emoji. Eine Content-Bereinigung ueber den Admin-Bereich hebt die verbleibenden zwei Fails auf und fuehrt zu 58 von 58 PASS.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Design-Strategie 2.0 in CLAUDE.md: </w:t>
      </w:r>
      <w:r>
        <w:t xml:space="preserve">Eine Verankerung der Schriftarten-Matrix und der vier Template-Regeln in den Projekt-Richtlinien schuetzt den erreichten Stand bei kuenftigen Erweiterungen.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Bestands- und Saisonlogik: </w:t>
      </w:r>
      <w:r>
        <w:t xml:space="preserve">Aus dem Produktziel-Scope noch nicht umgesetzt; betrifft keine Design-, sondern Feature-Ebene.</w:t>
      </w:r>
    </w:p>
    <w:p>
      <w:pPr>
        <w:pStyle w:val="Heading1"/>
      </w:pPr>
      <w:r>
        <w:t xml:space="preserve">7. Technische Referenz</w:t>
      </w:r>
    </w:p>
    <w:p>
      <w:pPr>
        <w:pStyle w:val="Heading3"/>
      </w:pPr>
      <w:r>
        <w:t xml:space="preserve">7.1 Werkzeuge auf dem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scripts/reseed-system-templates.ts: </w:t>
      </w:r>
      <w:r>
        <w:t xml:space="preserve">Schreibt die SYSTEM-Template-Definitionen aus den TypeScript-Dateien in die DesignTemplate-Konfigurationen der Datenbank. Anwendung bei jeder Anpassung einer Template-Datei.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design-compliance.mjs + design-compliance-remote.sh: </w:t>
      </w:r>
      <w:r>
        <w:t xml:space="preserve">Playwright-Compliance-Pipeline auf dem Server, erzeugt Snapshots, report.json und Excel-Bericht.</w:t>
      </w:r>
    </w:p>
    <w:p>
      <w:pPr>
        <w:pStyle w:val="Heading3"/>
      </w:pPr>
      <w:r>
        <w:t xml:space="preserve">7.2 Lokale Skripte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deploy-runde4.ps1: </w:t>
      </w:r>
      <w:r>
        <w:t xml:space="preserve">Finale Deploy-Runde, Referenz fuer das Muster "Backup, Upload, DB-Reseed, Build, Restart, Smoke-Test, Compliance-Lauf, Bundle-Download".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cleanup-runde4.ps1: </w:t>
      </w:r>
      <w:r>
        <w:t xml:space="preserve">Raeumt Backup-Dateien auf und verschiebt das Reseed-Tool in den dauerhaften Pfad scripts/.</w:t>
      </w:r>
    </w:p>
    <w:p>
      <w:pPr>
        <w:pStyle w:val="Heading3"/>
      </w:pPr>
      <w:r>
        <w:t xml:space="preserve">7.3 Relevante Codepfade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src/lib/design-templates/</w:t>
      </w:r>
      <w:r>
        <w:t xml:space="preserve">elegant.ts, modern.ts, classic.ts, minimal.ts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src/lib/design-config-reader.ts</w:t>
      </w:r>
      <w:r>
        <w:t xml:space="preserve"> (Sans-Serif-Fallback-Logik)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src/lib/template-resolver.ts</w:t>
      </w:r>
      <w:r>
        <w:t xml:space="preserve"> (Wrapper-Reduktion, resolveMenuDigitalConfig)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src/components/menu-content.tsx</w:t>
      </w:r>
      <w:r>
        <w:t xml:space="preserve"> (Template-Root-Wrapper in der Kartenansicht)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src/app/(public)/[tenant]/[location]/[menu]/item/[itemId]/page.tsx</w:t>
      </w:r>
      <w:r>
        <w:t xml:space="preserve"> (Template-Root-Wrapper in der Item-Detailansicht)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src/styles/menu-font.css</w:t>
      </w:r>
      <w:r>
        <w:t xml:space="preserve"> (:has()-Selektoren fuer Modern und Minimal)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src/app/layout.tsx</w:t>
      </w:r>
      <w:r>
        <w:t xml:space="preserve"> (next/font/google Einbindung aller Strategie-Schriften)</w:t>
      </w:r>
    </w:p>
    <w:p>
      <w:pPr>
        <w:pStyle w:val="Heading1"/>
      </w:pPr>
      <w:r>
        <w:t xml:space="preserve">8. Schlussbemerkung</w:t>
      </w:r>
    </w:p>
    <w:p>
      <w:pPr>
        <w:spacing w:after="180"/>
      </w:pPr>
      <w:r>
        <w:t xml:space="preserve">Die MenuCard-Pro-Software entspricht ab dem 14. April 2026 in allen produktiv ausgelieferten Seiten der Design-Strategie 2.0, abgesehen von einem einzelnen Content-Emoji in einem Produktdatensatz. Die Architektur, die Datenhaltung und die Geschaeftslogik wurden nicht beruehrt. Saemtliche Template-Aenderungen sind durch das zentrale Reseed-Skript reproduzierbar und durch die Compliance-Pipeline verifizierbar.</w:t>
      </w:r>
    </w:p>
    <w:p>
      <w:pPr>
        <w:spacing w:after="120"/>
      </w:pPr>
      <w:r>
        <w:t xml:space="preserve">Die Software ist damit bereit fuer die naechste Ausbaustufe.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Seite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von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MenuCard Pro  ·  Abschlussbericht Design-Strategie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Roboto" w:cs="Roboto" w:eastAsia="Roboto" w:hAnsi="Roboto"/>
      <w:b/>
      <w:bCs/>
      <w:color w:val="2E3C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Roboto" w:cs="Roboto" w:eastAsia="Roboto" w:hAnsi="Roboto"/>
      <w:b/>
      <w:bCs/>
      <w:color w:val="2E3C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Roboto" w:cs="Roboto" w:eastAsia="Roboto" w:hAnsi="Roboto"/>
      <w:b/>
      <w:bCs/>
      <w:color w:val="2E3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Abschlussbericht Design-Strategie 2.0</dc:title>
  <dc:creator>Hotel Sonnblick - MenuCard Pro</dc:creator>
  <dc:description>Compliance-Bericht MenuCard Pro gegen Design-Strategie 2.0, Stand 14.04.2026</dc:description>
  <cp:lastModifiedBy>Un-named</cp:lastModifiedBy>
  <cp:revision>1</cp:revision>
  <dcterms:created xsi:type="dcterms:W3CDTF">2026-04-14T19:01:55.748Z</dcterms:created>
  <dcterms:modified xsi:type="dcterms:W3CDTF">2026-04-14T19:01:55.748Z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