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92B" w:rsidRPr="00B6192B" w:rsidRDefault="007C7A4C" w:rsidP="00B6192B">
      <w:pPr>
        <w:rPr>
          <w:noProof/>
        </w:rPr>
      </w:pPr>
      <w:hyperlink w:anchor="_Toc20239866" w:history="1"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一、公司与团队</w:t>
        </w:r>
        <w:r w:rsidR="00B6192B" w:rsidRPr="00B6192B">
          <w:rPr>
            <w:noProof/>
            <w:webHidden/>
          </w:rPr>
          <w:tab/>
        </w:r>
      </w:hyperlink>
    </w:p>
    <w:p w:rsidR="00B6192B" w:rsidRPr="00B6192B" w:rsidRDefault="008D79BE" w:rsidP="00B6192B">
      <w:pPr>
        <w:rPr>
          <w:noProof/>
        </w:rPr>
      </w:pPr>
      <w:hyperlink w:anchor="_Toc20239867" w:history="1"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1.1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公司简介</w:t>
        </w:r>
        <w:r w:rsidR="00B6192B" w:rsidRPr="00B6192B">
          <w:rPr>
            <w:noProof/>
            <w:webHidden/>
          </w:rPr>
          <w:tab/>
        </w:r>
      </w:hyperlink>
    </w:p>
    <w:p w:rsidR="00B6192B" w:rsidRPr="00B6192B" w:rsidRDefault="008D79BE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hyperlink w:anchor="_Toc20239868" w:history="1"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1.2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公司团队</w:t>
        </w:r>
        <w:r w:rsidR="00B6192B" w:rsidRPr="00B6192B">
          <w:rPr>
            <w:rStyle w:val="Hyperlink"/>
            <w:rFonts w:ascii="Times New Roman" w:eastAsia="STKaiti" w:hAnsi="Times New Roman" w:cs="Times New Roman"/>
            <w:webHidden/>
            <w:color w:val="auto"/>
            <w:u w:val="none"/>
          </w:rPr>
          <w:tab/>
        </w:r>
      </w:hyperlink>
    </w:p>
    <w:p w:rsidR="00B6192B" w:rsidRPr="00B6192B" w:rsidRDefault="00B6192B" w:rsidP="00B6192B">
      <w:pPr>
        <w:rPr>
          <w:noProof/>
        </w:rPr>
      </w:pPr>
    </w:p>
    <w:p w:rsidR="00B6192B" w:rsidRPr="00B6192B" w:rsidRDefault="00B6192B" w:rsidP="00B6192B">
      <w:pPr>
        <w:rPr>
          <w:rStyle w:val="Hyperlink"/>
          <w:rFonts w:ascii="Times New Roman" w:eastAsia="STKaiti" w:hAnsi="Times New Roman" w:cs="Times New Roman"/>
          <w:b/>
          <w:color w:val="auto"/>
          <w:u w:val="none"/>
        </w:rPr>
      </w:pPr>
      <w:r w:rsidRPr="00B6192B">
        <w:rPr>
          <w:rStyle w:val="Hyperlink"/>
          <w:rFonts w:ascii="Times New Roman" w:eastAsia="STKaiti" w:hAnsi="Times New Roman" w:cs="Times New Roman" w:hint="eastAsia"/>
          <w:b/>
          <w:color w:val="auto"/>
          <w:u w:val="none"/>
        </w:rPr>
        <w:t>二、我们正在做什么</w:t>
      </w:r>
    </w:p>
    <w:p w:rsidR="00B6192B" w:rsidRPr="003A5E13" w:rsidRDefault="00B6192B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2.1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ab/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我们做的是生物信息分析平台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 xml:space="preserve">2.1.1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生物信息学的概念</w:t>
      </w:r>
      <w:bookmarkStart w:id="0" w:name="_GoBack"/>
      <w:bookmarkEnd w:id="0"/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2.1.1.1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生物信息学的定义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2.1.1.2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 xml:space="preserve">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</w:t>
      </w:r>
      <w:r w:rsidR="003A5E13"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信息学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涉及的交叉学科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2.1.2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生物信息学的发展现状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2.1.2.1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国家在生命科学的相关政策和指导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2.1.2.2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大数据时代和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>AI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带来的机遇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2.1.2.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>3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目前科研院所，学校和公司的发展情况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2.1.2.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>4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生物信息学的发展趋势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2.1.2.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>5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生物信息学的发展瓶颈和存在问题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2.1.3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生物信息分析平台</w:t>
      </w:r>
    </w:p>
    <w:p w:rsidR="00CD2572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 xml:space="preserve"> 2.1.3.1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生物信息学分析平台的框架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2.1.3.2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平台中数据的传输和接入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2.1.3.3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平台中数据的处理算法和流程（模块）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 xml:space="preserve">   2.1.3.4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平台中数据和用户的交互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2.1.3.5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平台中数据库的更新和维护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2.1.3.6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平台的迭代更新</w:t>
      </w:r>
    </w:p>
    <w:p w:rsidR="00CD2572" w:rsidRPr="003A5E13" w:rsidRDefault="00CD2572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2.1.4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生物信息学分析平台的应用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/>
          <w:color w:val="7030A0"/>
          <w:u w:val="none"/>
        </w:rPr>
      </w:pP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lastRenderedPageBreak/>
        <w:t xml:space="preserve">   2.1.4.1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商业合作，与上游测序公司和下游分析公司</w:t>
      </w:r>
    </w:p>
    <w:p w:rsidR="003A5E13" w:rsidRPr="003A5E13" w:rsidRDefault="003A5E13" w:rsidP="00B6192B">
      <w:pP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</w:pP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 xml:space="preserve">   2</w:t>
      </w:r>
      <w:r w:rsidRPr="003A5E13">
        <w:rPr>
          <w:rStyle w:val="Hyperlink"/>
          <w:rFonts w:ascii="Times New Roman" w:eastAsia="STKaiti" w:hAnsi="Times New Roman" w:cs="Times New Roman"/>
          <w:color w:val="7030A0"/>
          <w:u w:val="none"/>
        </w:rPr>
        <w:t xml:space="preserve">.1.4.2 </w:t>
      </w:r>
      <w:r w:rsidRPr="003A5E13">
        <w:rPr>
          <w:rStyle w:val="Hyperlink"/>
          <w:rFonts w:ascii="Times New Roman" w:eastAsia="STKaiti" w:hAnsi="Times New Roman" w:cs="Times New Roman" w:hint="eastAsia"/>
          <w:color w:val="7030A0"/>
          <w:u w:val="none"/>
        </w:rPr>
        <w:t>科研服务，科研院校和医院的项目合作</w:t>
      </w:r>
    </w:p>
    <w:p w:rsidR="00CD2572" w:rsidRPr="00CD2572" w:rsidRDefault="00CD2572" w:rsidP="00B6192B">
      <w:pP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</w:pPr>
    </w:p>
    <w:p w:rsidR="00B6192B" w:rsidRDefault="00B6192B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 w:rsidRPr="00D90F68">
        <w:rPr>
          <w:rStyle w:val="Hyperlink"/>
          <w:rFonts w:ascii="Times New Roman" w:eastAsia="STKaiti" w:hAnsi="Times New Roman" w:cs="Times New Roman" w:hint="eastAsia"/>
          <w:color w:val="FF0000"/>
          <w:u w:val="none"/>
        </w:rPr>
        <w:t>2.2</w:t>
      </w:r>
      <w:r w:rsidRPr="00D90F68">
        <w:rPr>
          <w:rStyle w:val="Hyperlink"/>
          <w:rFonts w:ascii="Times New Roman" w:eastAsia="STKaiti" w:hAnsi="Times New Roman" w:cs="Times New Roman" w:hint="eastAsia"/>
          <w:color w:val="FF0000"/>
          <w:u w:val="none"/>
        </w:rPr>
        <w:tab/>
      </w:r>
      <w:r w:rsidRPr="00D90F68">
        <w:rPr>
          <w:rStyle w:val="Hyperlink"/>
          <w:rFonts w:ascii="Times New Roman" w:eastAsia="STKaiti" w:hAnsi="Times New Roman" w:cs="Times New Roman" w:hint="eastAsia"/>
          <w:color w:val="FF0000"/>
          <w:u w:val="none"/>
        </w:rPr>
        <w:t>目前平台下的已有项目和正开发项目和未来开发项目</w:t>
      </w:r>
      <w:r w:rsidR="00D90F68">
        <w:rPr>
          <w:rStyle w:val="Hyperlink"/>
          <w:rFonts w:ascii="Times New Roman" w:eastAsia="STKaiti" w:hAnsi="Times New Roman" w:cs="Times New Roman" w:hint="eastAsia"/>
          <w:color w:val="FF0000"/>
          <w:u w:val="none"/>
        </w:rPr>
        <w:t>（</w:t>
      </w:r>
      <w:r w:rsidR="00D90F68" w:rsidRPr="00E45F39">
        <w:rPr>
          <w:rStyle w:val="Hyperlink"/>
          <w:rFonts w:ascii="Times New Roman" w:eastAsia="STKaiti" w:hAnsi="Times New Roman" w:cs="Times New Roman" w:hint="eastAsia"/>
          <w:b/>
          <w:color w:val="FF0000"/>
          <w:u w:val="none"/>
        </w:rPr>
        <w:t>高辉，</w:t>
      </w:r>
      <w:r w:rsidR="00B873E3" w:rsidRPr="00E45F39">
        <w:rPr>
          <w:rStyle w:val="Hyperlink"/>
          <w:rFonts w:ascii="Times New Roman" w:eastAsia="STKaiti" w:hAnsi="Times New Roman" w:cs="Times New Roman" w:hint="eastAsia"/>
          <w:b/>
          <w:color w:val="FF0000"/>
          <w:u w:val="none"/>
        </w:rPr>
        <w:t>杨老师</w:t>
      </w:r>
      <w:r w:rsidR="00D90F68">
        <w:rPr>
          <w:rStyle w:val="Hyperlink"/>
          <w:rFonts w:ascii="Times New Roman" w:eastAsia="STKaiti" w:hAnsi="Times New Roman" w:cs="Times New Roman" w:hint="eastAsia"/>
          <w:color w:val="FF0000"/>
          <w:u w:val="none"/>
        </w:rPr>
        <w:t>）</w:t>
      </w:r>
    </w:p>
    <w:p w:rsidR="00921360" w:rsidRDefault="0037547C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 w:rsidRPr="0037547C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生物信息分析平台临床预期用途包括</w:t>
      </w:r>
      <w: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如下项目测序数据分析</w:t>
      </w:r>
      <w:r w:rsidRPr="0037547C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：</w:t>
      </w:r>
    </w:p>
    <w:p w:rsidR="00921360" w:rsidRPr="007E7770" w:rsidRDefault="00921360" w:rsidP="00B6192B">
      <w:pPr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</w:pP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>2.2.</w:t>
      </w:r>
      <w:r w:rsidR="0037547C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1</w:t>
      </w:r>
      <w:r w:rsidR="0037547C"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 xml:space="preserve">. 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人类基因</w:t>
      </w:r>
      <w:r w:rsidR="0037547C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相关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疾病</w:t>
      </w:r>
      <w:r w:rsidR="0037547C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检测</w:t>
      </w:r>
    </w:p>
    <w:p w:rsidR="00921360" w:rsidRPr="007E7770" w:rsidRDefault="0037547C" w:rsidP="00921360">
      <w:pPr>
        <w:ind w:firstLineChars="200" w:firstLine="420"/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</w:pP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疾病筛查（如检测孕妇外周血血浆中游离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DNA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的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21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号、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18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号及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13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号染色体数量的差异，对普通人群胎儿染色体非整倍体疾病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21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三体综合征、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18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三体综合征或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13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三体综合征进行筛查）；疾病鉴别诊断或辅助诊断（定性检测一种或多种实体肿瘤组织标本中体细胞突变）；疾病活动性监测及早期预警（定性检测</w:t>
      </w:r>
      <w:r w:rsidR="0092136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外周血游离核酸变异位点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）</w:t>
      </w:r>
      <w:r w:rsidR="0092136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；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药物疗效预测和预后判断</w:t>
      </w:r>
      <w:r w:rsidR="0092136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（用于一种或多种药物的伴随诊断）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；检测单基因遗传病的变异位点</w:t>
      </w:r>
      <w:r w:rsidR="0092136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（用于该单基因遗传病的辅助诊断或成年携带者检测）。</w:t>
      </w:r>
    </w:p>
    <w:p w:rsidR="00921360" w:rsidRPr="007E7770" w:rsidRDefault="00921360" w:rsidP="00B6192B">
      <w:pPr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</w:pP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2</w:t>
      </w: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 xml:space="preserve">.2.2 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病原微生物检测</w:t>
      </w:r>
    </w:p>
    <w:p w:rsidR="00921360" w:rsidRPr="007E7770" w:rsidRDefault="00921360" w:rsidP="00B6192B">
      <w:pPr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</w:pP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 xml:space="preserve"> </w:t>
      </w: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 xml:space="preserve">  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包括利用宏基因组对潜在病原体的检测及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H</w:t>
      </w: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>PV</w:t>
      </w:r>
      <w:r w:rsidR="007E777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这种已经商业化的检测项目。</w:t>
      </w:r>
    </w:p>
    <w:p w:rsidR="00921360" w:rsidRPr="007E7770" w:rsidRDefault="00921360" w:rsidP="00B6192B">
      <w:pPr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</w:pP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2</w:t>
      </w: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 xml:space="preserve">.2.3 </w:t>
      </w:r>
      <w:r w:rsidR="007E7770"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与人类健康相关检测</w:t>
      </w:r>
    </w:p>
    <w:p w:rsidR="007E7770" w:rsidRDefault="007E7770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 xml:space="preserve"> </w:t>
      </w:r>
      <w:r w:rsidRPr="007E7770">
        <w:rPr>
          <w:rStyle w:val="Hyperlink"/>
          <w:rFonts w:ascii="Times New Roman" w:eastAsia="STKaiti" w:hAnsi="Times New Roman" w:cs="Times New Roman"/>
          <w:color w:val="auto"/>
          <w:highlight w:val="darkCyan"/>
          <w:u w:val="none"/>
        </w:rPr>
        <w:t xml:space="preserve">  </w:t>
      </w:r>
      <w:r w:rsidRPr="007E7770">
        <w:rPr>
          <w:rStyle w:val="Hyperlink"/>
          <w:rFonts w:ascii="Times New Roman" w:eastAsia="STKaiti" w:hAnsi="Times New Roman" w:cs="Times New Roman" w:hint="eastAsia"/>
          <w:color w:val="auto"/>
          <w:highlight w:val="darkCyan"/>
          <w:u w:val="none"/>
        </w:rPr>
        <w:t>包括肠道菌群检测、阴道微生态检测等。</w:t>
      </w:r>
    </w:p>
    <w:p w:rsidR="00B6192B" w:rsidRPr="00921360" w:rsidRDefault="008D79BE" w:rsidP="00B6192B">
      <w:pPr>
        <w:rPr>
          <w:rFonts w:ascii="Times New Roman" w:eastAsia="STKaiti" w:hAnsi="Times New Roman" w:cs="Times New Roman"/>
        </w:rPr>
      </w:pPr>
      <w:hyperlink w:anchor="_Toc20239882" w:history="1">
        <w:r w:rsid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三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、发展计划</w:t>
        </w:r>
      </w:hyperlink>
    </w:p>
    <w:p w:rsidR="005A20E9" w:rsidRPr="00D90F68" w:rsidRDefault="008D79BE" w:rsidP="005A20E9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hyperlink w:anchor="_Toc20239883" w:history="1">
        <w:r w:rsidR="005A20E9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3</w:t>
        </w:r>
        <w:r w:rsidR="005A20E9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.1</w:t>
        </w:r>
        <w:r w:rsidR="005A20E9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公司战略目标</w:t>
        </w:r>
      </w:hyperlink>
    </w:p>
    <w:p w:rsidR="005A20E9" w:rsidRPr="00D90F68" w:rsidRDefault="008D79BE" w:rsidP="005A20E9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hyperlink w:anchor="_Toc20239884" w:history="1">
        <w:r w:rsidR="005A20E9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3</w:t>
        </w:r>
        <w:r w:rsidR="005A20E9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.2</w:t>
        </w:r>
        <w:r w:rsidR="005A20E9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未来发展计划</w:t>
        </w:r>
      </w:hyperlink>
    </w:p>
    <w:p w:rsidR="00B6192B" w:rsidRDefault="00B6192B" w:rsidP="00B6192B">
      <w:pPr>
        <w:rPr>
          <w:noProof/>
        </w:rPr>
      </w:pPr>
    </w:p>
    <w:p w:rsidR="00D90F68" w:rsidRPr="00D90F68" w:rsidRDefault="00D90F68" w:rsidP="00B6192B">
      <w:pPr>
        <w:rPr>
          <w:rStyle w:val="Hyperlink"/>
          <w:rFonts w:ascii="Times New Roman" w:eastAsia="STKaiti" w:hAnsi="Times New Roman" w:cs="Times New Roman"/>
          <w:b/>
          <w:color w:val="FF0000"/>
          <w:u w:val="none"/>
        </w:rPr>
      </w:pPr>
      <w:r w:rsidRPr="00D90F68">
        <w:rPr>
          <w:rStyle w:val="Hyperlink"/>
          <w:rFonts w:ascii="Times New Roman" w:eastAsia="STKaiti" w:hAnsi="Times New Roman" w:cs="Times New Roman"/>
          <w:b/>
          <w:color w:val="auto"/>
          <w:u w:val="none"/>
        </w:rPr>
        <w:t>四</w:t>
      </w:r>
      <w:r w:rsidR="00E45F39">
        <w:rPr>
          <w:rStyle w:val="Hyperlink"/>
          <w:rFonts w:ascii="Times New Roman" w:eastAsia="STKaiti" w:hAnsi="Times New Roman" w:cs="Times New Roman"/>
          <w:b/>
          <w:color w:val="auto"/>
          <w:u w:val="none"/>
        </w:rPr>
        <w:t>、我们与迪安诊断合作的契合</w:t>
      </w:r>
      <w:r w:rsidRPr="00D90F68">
        <w:rPr>
          <w:rStyle w:val="Hyperlink"/>
          <w:rFonts w:ascii="Times New Roman" w:eastAsia="STKaiti" w:hAnsi="Times New Roman" w:cs="Times New Roman"/>
          <w:b/>
          <w:color w:val="auto"/>
          <w:u w:val="none"/>
        </w:rPr>
        <w:t>点</w:t>
      </w:r>
      <w:r w:rsidRPr="00D90F68">
        <w:rPr>
          <w:rStyle w:val="Hyperlink"/>
          <w:rFonts w:ascii="Times New Roman" w:eastAsia="STKaiti" w:hAnsi="Times New Roman" w:cs="Times New Roman" w:hint="eastAsia"/>
          <w:b/>
          <w:color w:val="FF0000"/>
          <w:u w:val="none"/>
        </w:rPr>
        <w:t>（高辉）</w:t>
      </w:r>
    </w:p>
    <w:p w:rsidR="00D90F68" w:rsidRPr="00721843" w:rsidRDefault="00721843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 w:rsidRPr="00721843">
        <w:rPr>
          <w:rStyle w:val="Hyperlink"/>
          <w:rFonts w:ascii="Times New Roman" w:eastAsia="STKaiti" w:hAnsi="Times New Roman" w:cs="Times New Roman"/>
          <w:color w:val="auto"/>
          <w:u w:val="none"/>
        </w:rPr>
        <w:t>（</w:t>
      </w:r>
      <w:r w:rsidRPr="00721843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医保政策，</w:t>
      </w:r>
      <w:r w:rsidRPr="00721843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POCT</w:t>
      </w:r>
      <w:r w:rsidRPr="00721843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，迪安业务需要增长点，我们刚好</w:t>
      </w:r>
      <w: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可以提供此种增长点，且不断与临床结合，开发更多的增长点，双赢</w:t>
      </w:r>
      <w:r w:rsidRPr="00721843">
        <w:rPr>
          <w:rStyle w:val="Hyperlink"/>
          <w:rFonts w:ascii="Times New Roman" w:eastAsia="STKaiti" w:hAnsi="Times New Roman" w:cs="Times New Roman"/>
          <w:color w:val="auto"/>
          <w:u w:val="none"/>
        </w:rPr>
        <w:t>）</w:t>
      </w:r>
    </w:p>
    <w:p w:rsidR="00721843" w:rsidRPr="00721843" w:rsidRDefault="00721843" w:rsidP="00B6192B">
      <w:pPr>
        <w:rPr>
          <w:noProof/>
        </w:rPr>
      </w:pPr>
    </w:p>
    <w:p w:rsidR="00B6192B" w:rsidRPr="00B6192B" w:rsidRDefault="008D79BE" w:rsidP="00B6192B">
      <w:pPr>
        <w:rPr>
          <w:noProof/>
        </w:rPr>
      </w:pPr>
      <w:hyperlink w:anchor="_Toc20239871" w:history="1">
        <w:r w:rsidR="00E45F39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五</w:t>
        </w:r>
        <w:r w:rsidR="00D90F68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、病原微生物生信分析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项目介绍</w:t>
        </w:r>
      </w:hyperlink>
    </w:p>
    <w:p w:rsidR="00B6192B" w:rsidRDefault="008D79BE" w:rsidP="00B6192B">
      <w:pPr>
        <w:rPr>
          <w:noProof/>
        </w:rPr>
      </w:pPr>
      <w:hyperlink w:anchor="_Toc20239872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.1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行业现状及前景</w:t>
        </w:r>
      </w:hyperlink>
    </w:p>
    <w:p w:rsidR="00E45F39" w:rsidRDefault="00D26F13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5</w:t>
      </w:r>
      <w:r w:rsidR="00E45F39" w:rsidRPr="00E45F39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 xml:space="preserve">.2 </w:t>
      </w:r>
      <w:r w:rsidR="00E45F39" w:rsidRPr="00E45F39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测序仪的发展与</w:t>
      </w:r>
      <w:r w:rsidR="00E45F39" w:rsidRPr="00E45F39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5G</w:t>
      </w:r>
      <w:r w:rsidR="00E45F39" w:rsidRPr="00E45F39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发展对项目的影响（</w:t>
      </w:r>
      <w:r w:rsidR="00E45F39" w:rsidRPr="00E45F39">
        <w:rPr>
          <w:rStyle w:val="Hyperlink"/>
          <w:rFonts w:ascii="Times New Roman" w:eastAsia="STKaiti" w:hAnsi="Times New Roman" w:cs="Times New Roman" w:hint="eastAsia"/>
          <w:b/>
          <w:color w:val="FF0000"/>
          <w:u w:val="none"/>
        </w:rPr>
        <w:t>蒋夕军</w:t>
      </w:r>
      <w:r w:rsidR="00E45F39" w:rsidRPr="00E45F39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）</w:t>
      </w:r>
    </w:p>
    <w:p w:rsidR="00B669E3" w:rsidRPr="00E45F39" w:rsidRDefault="00D26F13" w:rsidP="00B6192B">
      <w:pPr>
        <w:rPr>
          <w:rStyle w:val="Hyperlink"/>
          <w:rFonts w:ascii="Times New Roman" w:eastAsia="STKaiti" w:hAnsi="Times New Roman" w:cs="Times New Roman"/>
          <w:color w:val="auto"/>
          <w:u w:val="none"/>
        </w:rPr>
      </w:pPr>
      <w:r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5</w:t>
      </w:r>
      <w:r w:rsidR="00B669E3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 xml:space="preserve">.3 </w:t>
      </w:r>
      <w:r w:rsidR="00B669E3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市场竞争的核心因素</w:t>
      </w:r>
      <w:r w:rsidR="001413EF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（</w:t>
      </w:r>
      <w:r w:rsidR="001413EF" w:rsidRPr="001413EF">
        <w:rPr>
          <w:rStyle w:val="Hyperlink"/>
          <w:rFonts w:ascii="Times New Roman" w:eastAsia="STKaiti" w:hAnsi="Times New Roman" w:cs="Times New Roman" w:hint="eastAsia"/>
          <w:b/>
          <w:color w:val="FF0000"/>
          <w:u w:val="none"/>
        </w:rPr>
        <w:t>蒋夕军</w:t>
      </w:r>
      <w:r w:rsidR="001413EF">
        <w:rPr>
          <w:rStyle w:val="Hyperlink"/>
          <w:rFonts w:ascii="Times New Roman" w:eastAsia="STKaiti" w:hAnsi="Times New Roman" w:cs="Times New Roman" w:hint="eastAsia"/>
          <w:color w:val="auto"/>
          <w:u w:val="none"/>
        </w:rPr>
        <w:t>）</w:t>
      </w:r>
    </w:p>
    <w:p w:rsidR="00B6192B" w:rsidRPr="00B6192B" w:rsidRDefault="008D79BE" w:rsidP="00B6192B">
      <w:pPr>
        <w:rPr>
          <w:noProof/>
        </w:rPr>
      </w:pPr>
      <w:hyperlink w:anchor="_Toc20239873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</w:t>
        </w:r>
        <w:r w:rsidR="001413EF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4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竞争对手</w:t>
        </w:r>
      </w:hyperlink>
    </w:p>
    <w:p w:rsidR="00B6192B" w:rsidRPr="00B6192B" w:rsidRDefault="008D79BE" w:rsidP="00B6192B">
      <w:pPr>
        <w:rPr>
          <w:noProof/>
        </w:rPr>
      </w:pPr>
      <w:hyperlink w:anchor="_Toc20239874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</w:t>
        </w:r>
        <w:r w:rsidR="001413EF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市场空间</w:t>
        </w:r>
      </w:hyperlink>
    </w:p>
    <w:p w:rsidR="00B6192B" w:rsidRPr="00B6192B" w:rsidRDefault="008D79BE" w:rsidP="00B6192B">
      <w:pPr>
        <w:rPr>
          <w:noProof/>
        </w:rPr>
      </w:pPr>
      <w:hyperlink w:anchor="_Toc20239875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</w:t>
        </w:r>
        <w:r w:rsidR="001413EF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6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我们目前的情况</w:t>
        </w:r>
      </w:hyperlink>
    </w:p>
    <w:p w:rsidR="00B6192B" w:rsidRPr="00B6192B" w:rsidRDefault="008D79BE" w:rsidP="00B6192B">
      <w:pPr>
        <w:rPr>
          <w:noProof/>
        </w:rPr>
      </w:pPr>
      <w:hyperlink w:anchor="_Toc20239876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5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</w:t>
        </w:r>
        <w:r w:rsidR="001413EF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7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我们的优势</w:t>
        </w:r>
      </w:hyperlink>
    </w:p>
    <w:p w:rsidR="00B6192B" w:rsidRPr="00B6192B" w:rsidRDefault="00B6192B" w:rsidP="00B6192B">
      <w:pPr>
        <w:rPr>
          <w:noProof/>
        </w:rPr>
      </w:pPr>
    </w:p>
    <w:p w:rsidR="00B6192B" w:rsidRPr="00B6192B" w:rsidRDefault="008D79BE" w:rsidP="00B6192B">
      <w:pPr>
        <w:rPr>
          <w:noProof/>
        </w:rPr>
      </w:pPr>
      <w:hyperlink w:anchor="_Toc20239877" w:history="1">
        <w:r w:rsidR="00D26F13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六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、</w:t>
        </w:r>
        <w:r w:rsidR="009443D3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病原微生物项目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产品服务与运营</w:t>
        </w:r>
      </w:hyperlink>
    </w:p>
    <w:p w:rsidR="00B6192B" w:rsidRPr="00B6192B" w:rsidRDefault="008D79BE" w:rsidP="00B6192B">
      <w:pPr>
        <w:rPr>
          <w:noProof/>
        </w:rPr>
      </w:pPr>
      <w:hyperlink w:anchor="_Toc20239878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6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.1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产品服务概述</w:t>
        </w:r>
      </w:hyperlink>
    </w:p>
    <w:p w:rsidR="00B6192B" w:rsidRPr="00B6192B" w:rsidRDefault="008D79BE" w:rsidP="00B6192B">
      <w:pPr>
        <w:rPr>
          <w:noProof/>
        </w:rPr>
      </w:pPr>
      <w:hyperlink w:anchor="_Toc20239879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6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.2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推广方式</w:t>
        </w:r>
      </w:hyperlink>
    </w:p>
    <w:p w:rsidR="00B6192B" w:rsidRPr="00B6192B" w:rsidRDefault="008D79BE" w:rsidP="00B6192B">
      <w:pPr>
        <w:rPr>
          <w:noProof/>
        </w:rPr>
      </w:pPr>
      <w:hyperlink w:anchor="_Toc20239880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6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.3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利润分析</w:t>
        </w:r>
      </w:hyperlink>
    </w:p>
    <w:p w:rsidR="00B6192B" w:rsidRDefault="008D79BE" w:rsidP="00B6192B">
      <w:pPr>
        <w:rPr>
          <w:noProof/>
        </w:rPr>
      </w:pPr>
      <w:hyperlink w:anchor="_Toc20239881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6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.4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临床案例</w:t>
        </w:r>
      </w:hyperlink>
    </w:p>
    <w:p w:rsidR="00D26F13" w:rsidRPr="00B6192B" w:rsidRDefault="00D26F13" w:rsidP="00B6192B">
      <w:pPr>
        <w:rPr>
          <w:noProof/>
        </w:rPr>
      </w:pPr>
    </w:p>
    <w:p w:rsidR="00B6192B" w:rsidRPr="00B6192B" w:rsidRDefault="008D79BE" w:rsidP="00B6192B">
      <w:pPr>
        <w:rPr>
          <w:noProof/>
        </w:rPr>
      </w:pPr>
      <w:hyperlink w:anchor="_Toc20239882" w:history="1">
        <w:r w:rsidR="00D26F13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七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、</w:t>
        </w:r>
        <w:r w:rsidR="009443D3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病原微生物项目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发展计划</w:t>
        </w:r>
      </w:hyperlink>
    </w:p>
    <w:p w:rsidR="00B6192B" w:rsidRPr="00B6192B" w:rsidRDefault="008D79BE" w:rsidP="00B6192B">
      <w:pPr>
        <w:rPr>
          <w:noProof/>
        </w:rPr>
      </w:pPr>
      <w:hyperlink w:anchor="_Toc20239884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7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.2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未来发展计划</w:t>
        </w:r>
      </w:hyperlink>
    </w:p>
    <w:p w:rsidR="00B6192B" w:rsidRPr="00B6192B" w:rsidRDefault="008D79BE" w:rsidP="00B6192B">
      <w:pPr>
        <w:rPr>
          <w:noProof/>
        </w:rPr>
      </w:pPr>
      <w:hyperlink w:anchor="_Toc20239885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7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.3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市场拓展计划</w:t>
        </w:r>
      </w:hyperlink>
    </w:p>
    <w:p w:rsidR="00B6192B" w:rsidRDefault="008D79BE" w:rsidP="00B6192B">
      <w:pPr>
        <w:rPr>
          <w:noProof/>
        </w:rPr>
      </w:pPr>
      <w:hyperlink w:anchor="_Toc20239886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7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.4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销售网络布局</w:t>
        </w:r>
      </w:hyperlink>
    </w:p>
    <w:p w:rsidR="00D26F13" w:rsidRPr="00D26F13" w:rsidRDefault="00D26F13" w:rsidP="00B6192B">
      <w:pPr>
        <w:rPr>
          <w:noProof/>
        </w:rPr>
      </w:pPr>
    </w:p>
    <w:p w:rsidR="00B6192B" w:rsidRPr="00B6192B" w:rsidRDefault="008D79BE" w:rsidP="00B6192B">
      <w:pPr>
        <w:rPr>
          <w:noProof/>
        </w:rPr>
      </w:pPr>
      <w:hyperlink w:anchor="_Toc20239887" w:history="1">
        <w:r w:rsidR="00D26F13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八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b/>
            <w:noProof/>
            <w:color w:val="auto"/>
            <w:u w:val="none"/>
          </w:rPr>
          <w:t>、财务与融资</w:t>
        </w:r>
      </w:hyperlink>
    </w:p>
    <w:p w:rsidR="00B6192B" w:rsidRPr="00B6192B" w:rsidRDefault="008D79BE" w:rsidP="00B6192B">
      <w:pPr>
        <w:rPr>
          <w:noProof/>
        </w:rPr>
      </w:pPr>
      <w:hyperlink w:anchor="_Toc20239888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8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.1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盈利预测</w:t>
        </w:r>
        <w:r w:rsidR="00B6192B" w:rsidRPr="00B6192B">
          <w:rPr>
            <w:noProof/>
            <w:webHidden/>
          </w:rPr>
          <w:tab/>
        </w:r>
      </w:hyperlink>
    </w:p>
    <w:p w:rsidR="00B6192B" w:rsidRPr="00B6192B" w:rsidRDefault="008D79BE" w:rsidP="00B6192B">
      <w:pPr>
        <w:rPr>
          <w:noProof/>
        </w:rPr>
      </w:pPr>
      <w:hyperlink w:anchor="_Toc20239889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8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.2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资金缺口及融资计划</w:t>
        </w:r>
      </w:hyperlink>
    </w:p>
    <w:p w:rsidR="00B6192B" w:rsidRPr="00B6192B" w:rsidRDefault="008D79BE" w:rsidP="00B6192B">
      <w:pPr>
        <w:rPr>
          <w:noProof/>
        </w:rPr>
      </w:pPr>
      <w:hyperlink w:anchor="_Toc20239890" w:history="1">
        <w:r w:rsidR="00D26F13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8</w:t>
        </w:r>
        <w:r w:rsidR="00B6192B" w:rsidRPr="00B6192B">
          <w:rPr>
            <w:rStyle w:val="Hyperlink"/>
            <w:rFonts w:ascii="Times New Roman" w:eastAsia="STKaiti" w:hAnsi="Times New Roman" w:cs="Times New Roman"/>
            <w:noProof/>
            <w:color w:val="auto"/>
            <w:u w:val="none"/>
          </w:rPr>
          <w:t>.3</w:t>
        </w:r>
        <w:r w:rsidR="00B6192B" w:rsidRPr="00B6192B">
          <w:rPr>
            <w:rStyle w:val="Hyperlink"/>
            <w:rFonts w:ascii="Times New Roman" w:eastAsia="STKaiti" w:hAnsi="Times New Roman" w:cs="Times New Roman" w:hint="eastAsia"/>
            <w:noProof/>
            <w:color w:val="auto"/>
            <w:u w:val="none"/>
          </w:rPr>
          <w:t>资金用途</w:t>
        </w:r>
      </w:hyperlink>
    </w:p>
    <w:p w:rsidR="008C0834" w:rsidRPr="00B6192B" w:rsidRDefault="008D79BE" w:rsidP="00B6192B"/>
    <w:sectPr w:rsidR="008C0834" w:rsidRPr="00B6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BE" w:rsidRDefault="008D79BE" w:rsidP="00B6192B">
      <w:r>
        <w:separator/>
      </w:r>
    </w:p>
  </w:endnote>
  <w:endnote w:type="continuationSeparator" w:id="0">
    <w:p w:rsidR="008D79BE" w:rsidRDefault="008D79BE" w:rsidP="00B6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BE" w:rsidRDefault="008D79BE" w:rsidP="00B6192B">
      <w:r>
        <w:separator/>
      </w:r>
    </w:p>
  </w:footnote>
  <w:footnote w:type="continuationSeparator" w:id="0">
    <w:p w:rsidR="008D79BE" w:rsidRDefault="008D79BE" w:rsidP="00B61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KY_MEDREF_DOCUID" w:val="{75E7D7F9-8904-483A-BA58-9CE09C4A5D2F}"/>
    <w:docVar w:name="KY_MEDREF_VERSION" w:val="3"/>
  </w:docVars>
  <w:rsids>
    <w:rsidRoot w:val="00FB5554"/>
    <w:rsid w:val="001413EF"/>
    <w:rsid w:val="002902E8"/>
    <w:rsid w:val="0037547C"/>
    <w:rsid w:val="003A5E13"/>
    <w:rsid w:val="005A20E9"/>
    <w:rsid w:val="0070755B"/>
    <w:rsid w:val="00721843"/>
    <w:rsid w:val="007C7A4C"/>
    <w:rsid w:val="007E6B2A"/>
    <w:rsid w:val="007E7770"/>
    <w:rsid w:val="008834E1"/>
    <w:rsid w:val="008D79BE"/>
    <w:rsid w:val="00921360"/>
    <w:rsid w:val="009443D3"/>
    <w:rsid w:val="009A52B6"/>
    <w:rsid w:val="00AC72F1"/>
    <w:rsid w:val="00B6192B"/>
    <w:rsid w:val="00B669E3"/>
    <w:rsid w:val="00B873E3"/>
    <w:rsid w:val="00CD2572"/>
    <w:rsid w:val="00D26F13"/>
    <w:rsid w:val="00D90F68"/>
    <w:rsid w:val="00E45F39"/>
    <w:rsid w:val="00F02684"/>
    <w:rsid w:val="00FB5554"/>
    <w:rsid w:val="00F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EF75"/>
  <w15:docId w15:val="{CAE98260-E146-4EA8-AA40-8212425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19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1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192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92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192B"/>
    <w:pPr>
      <w:tabs>
        <w:tab w:val="right" w:leader="dot" w:pos="829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6192B"/>
    <w:pPr>
      <w:tabs>
        <w:tab w:val="right" w:leader="dot" w:pos="8296"/>
      </w:tabs>
      <w:spacing w:line="500" w:lineRule="exact"/>
      <w:ind w:leftChars="200"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B6192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6192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JXJ</dc:creator>
  <cp:keywords/>
  <dc:description/>
  <cp:lastModifiedBy>Microsoft Office User</cp:lastModifiedBy>
  <cp:revision>15</cp:revision>
  <dcterms:created xsi:type="dcterms:W3CDTF">2020-01-02T13:32:00Z</dcterms:created>
  <dcterms:modified xsi:type="dcterms:W3CDTF">2020-01-03T07:42:00Z</dcterms:modified>
</cp:coreProperties>
</file>