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E8E12" w14:textId="6A40B479" w:rsidR="00B42830" w:rsidRDefault="00CB42DB" w:rsidP="00CB42DB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CB42DB">
        <w:rPr>
          <w:rFonts w:ascii="Arial" w:hAnsi="Arial" w:cs="Arial"/>
          <w:b/>
          <w:bCs/>
          <w:sz w:val="32"/>
          <w:szCs w:val="32"/>
        </w:rPr>
        <w:t>INNOVACIÓN DE CLINICALMIND.</w:t>
      </w:r>
    </w:p>
    <w:p w14:paraId="5F7FF3F1" w14:textId="77777777" w:rsidR="00F03D73" w:rsidRDefault="00F03D73" w:rsidP="00CB42DB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7DDC03D7" w14:textId="435CEDA2" w:rsidR="00CB42DB" w:rsidRDefault="00CB42DB" w:rsidP="00CB42DB">
      <w:pPr>
        <w:rPr>
          <w:rFonts w:ascii="Arial" w:hAnsi="Arial" w:cs="Arial"/>
          <w:sz w:val="24"/>
          <w:szCs w:val="24"/>
        </w:rPr>
      </w:pPr>
      <w:r w:rsidRPr="00CB42DB">
        <w:rPr>
          <w:rFonts w:ascii="Arial" w:hAnsi="Arial" w:cs="Arial"/>
          <w:sz w:val="24"/>
          <w:szCs w:val="24"/>
        </w:rPr>
        <w:t>ClinicalMind aporta una propuesta novedosa dentro de las herramientas de apoyo clínico al integrar funciones que combinan accesibilidad, soporte educativo y seguridad médica. Su innovación se basa en</w:t>
      </w:r>
      <w:r>
        <w:rPr>
          <w:rFonts w:ascii="Arial" w:hAnsi="Arial" w:cs="Arial"/>
          <w:sz w:val="24"/>
          <w:szCs w:val="24"/>
        </w:rPr>
        <w:t xml:space="preserve"> que:</w:t>
      </w:r>
    </w:p>
    <w:p w14:paraId="7A2EC5F9" w14:textId="333F7E3E" w:rsidR="00CB42DB" w:rsidRPr="00F03D73" w:rsidRDefault="00CB42DB" w:rsidP="00CB42DB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Ofrece una herramienta clínical intuitiva, diseñada específicamente para </w:t>
      </w:r>
      <w:r w:rsidRPr="00F03D73">
        <w:rPr>
          <w:rFonts w:ascii="Arial" w:hAnsi="Arial" w:cs="Arial"/>
          <w:b/>
          <w:bCs/>
          <w:sz w:val="24"/>
          <w:szCs w:val="24"/>
        </w:rPr>
        <w:t>médicos generales y estudiantes que no están familiarizados con plataformas digitales avanzadas</w:t>
      </w:r>
      <w:r>
        <w:rPr>
          <w:rFonts w:ascii="Arial" w:hAnsi="Arial" w:cs="Arial"/>
          <w:sz w:val="24"/>
          <w:szCs w:val="24"/>
        </w:rPr>
        <w:t xml:space="preserve">. A diferencia de otras aplicaciones con asistente virtual que requieren configuraciones complejas o conocimientos técnicos avanzados, este producto se centra en una </w:t>
      </w:r>
      <w:r w:rsidRPr="00F03D73">
        <w:rPr>
          <w:rFonts w:ascii="Arial" w:hAnsi="Arial" w:cs="Arial"/>
          <w:b/>
          <w:bCs/>
          <w:sz w:val="24"/>
          <w:szCs w:val="24"/>
        </w:rPr>
        <w:t>interfaz simple, con consultas en lenguaje natural, navegación mínima y acceso a información médica entendible.</w:t>
      </w:r>
    </w:p>
    <w:p w14:paraId="4EF0CED7" w14:textId="47895280" w:rsidR="00CB42DB" w:rsidRDefault="00CB42DB" w:rsidP="00CB42D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Combina en un solo sistema la redacción de consultas clínicas, la obtención de información médica validada, la visualización de referencias y el almacenamiento del historial de preguntas, facilitando el aprendizaje y la toma de decisiones en formación.</w:t>
      </w:r>
    </w:p>
    <w:p w14:paraId="775B5249" w14:textId="536F1AE3" w:rsidR="00CB42DB" w:rsidRDefault="00CB42DB" w:rsidP="00CB42D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Responde a una necesidad identificada: </w:t>
      </w:r>
      <w:r w:rsidRPr="00F03D73">
        <w:rPr>
          <w:rFonts w:ascii="Arial" w:hAnsi="Arial" w:cs="Arial"/>
          <w:b/>
          <w:bCs/>
          <w:sz w:val="24"/>
          <w:szCs w:val="24"/>
        </w:rPr>
        <w:t xml:space="preserve">los médicos generales y </w:t>
      </w:r>
      <w:r w:rsidR="00F03D73" w:rsidRPr="00F03D73">
        <w:rPr>
          <w:rFonts w:ascii="Arial" w:hAnsi="Arial" w:cs="Arial"/>
          <w:b/>
          <w:bCs/>
          <w:sz w:val="24"/>
          <w:szCs w:val="24"/>
        </w:rPr>
        <w:t>estudiantes con poca experiencia tecnológica que aun así requieren</w:t>
      </w:r>
      <w:r w:rsidRPr="00F03D73">
        <w:rPr>
          <w:rFonts w:ascii="Arial" w:hAnsi="Arial" w:cs="Arial"/>
          <w:b/>
          <w:bCs/>
          <w:sz w:val="24"/>
          <w:szCs w:val="24"/>
        </w:rPr>
        <w:t xml:space="preserve"> una manera rápida de revisar información clínica confiable sin navegar entre múltiples fuentes dispersas.</w:t>
      </w:r>
      <w:r>
        <w:rPr>
          <w:rFonts w:ascii="Arial" w:hAnsi="Arial" w:cs="Arial"/>
          <w:sz w:val="24"/>
          <w:szCs w:val="24"/>
        </w:rPr>
        <w:t xml:space="preserve"> ClinicalMind ofrece un entorno unificado, académico y seguro para ese fin.</w:t>
      </w:r>
    </w:p>
    <w:p w14:paraId="7A70E35C" w14:textId="75F9F35B" w:rsidR="00CB42DB" w:rsidRPr="00CB42DB" w:rsidRDefault="00CB42DB" w:rsidP="00CB42D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originalidad</w:t>
      </w:r>
      <w:r w:rsidR="00F03D73">
        <w:rPr>
          <w:rFonts w:ascii="Arial" w:hAnsi="Arial" w:cs="Arial"/>
          <w:sz w:val="24"/>
          <w:szCs w:val="24"/>
        </w:rPr>
        <w:t xml:space="preserve"> e innovación del producto radica en </w:t>
      </w:r>
      <w:r w:rsidR="00F03D73" w:rsidRPr="00F03D73">
        <w:rPr>
          <w:rFonts w:ascii="Arial" w:hAnsi="Arial" w:cs="Arial"/>
          <w:b/>
          <w:bCs/>
          <w:sz w:val="24"/>
          <w:szCs w:val="24"/>
        </w:rPr>
        <w:t>adaptar el sistema al usuario</w:t>
      </w:r>
      <w:r w:rsidR="00F03D73">
        <w:rPr>
          <w:rFonts w:ascii="Arial" w:hAnsi="Arial" w:cs="Arial"/>
          <w:sz w:val="24"/>
          <w:szCs w:val="24"/>
        </w:rPr>
        <w:t>, no al revés: simplifica el proceso de consulta, evita sobrecarga de información y ofrece una experiencia accesible y guiada. Esto vuelve a ClinicalMind en una propuesta original dentro de herramientas de apoyo clínico dirigidas a profesionales.</w:t>
      </w:r>
      <w:r>
        <w:rPr>
          <w:rFonts w:ascii="Arial" w:hAnsi="Arial" w:cs="Arial"/>
          <w:sz w:val="24"/>
          <w:szCs w:val="24"/>
        </w:rPr>
        <w:t xml:space="preserve"> </w:t>
      </w:r>
    </w:p>
    <w:sectPr w:rsidR="00CB42DB" w:rsidRPr="00CB42D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2DB"/>
    <w:rsid w:val="004B0938"/>
    <w:rsid w:val="004E05DD"/>
    <w:rsid w:val="00932595"/>
    <w:rsid w:val="00B42830"/>
    <w:rsid w:val="00CB42DB"/>
    <w:rsid w:val="00DF3336"/>
    <w:rsid w:val="00F03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A435F"/>
  <w15:chartTrackingRefBased/>
  <w15:docId w15:val="{46381DD1-4E69-4D7F-B648-AC3FC6ABF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B42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B42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B42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42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42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42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42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42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42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42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42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42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42D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42D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42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42D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42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42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42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42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42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42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42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42D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42D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42D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42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42D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42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242</Words>
  <Characters>1331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ABIGAIL CAN CATZIN</dc:creator>
  <cp:keywords/>
  <dc:description/>
  <cp:lastModifiedBy>Maximiliano Montoya de la Cruz</cp:lastModifiedBy>
  <cp:revision>2</cp:revision>
  <dcterms:created xsi:type="dcterms:W3CDTF">2025-12-01T04:26:00Z</dcterms:created>
  <dcterms:modified xsi:type="dcterms:W3CDTF">2025-12-01T04:26:00Z</dcterms:modified>
</cp:coreProperties>
</file>