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3A5C"/>
          <w:sz w:val="56"/>
          <w:szCs w:val="56"/>
        </w:rPr>
        <w:t xml:space="preserve">HUMAINI.TY</w:t>
      </w:r>
    </w:p>
    <w:p>
      <w:pPr>
        <w:pBdr>
          <w:bottom w:val="single" w:color="2E75B6" w:sz="6" w:space="1"/>
        </w:pBdr>
        <w:spacing w:after="200"/>
        <w:jc w:val="center"/>
      </w:pPr>
      <w:r>
        <w:rPr>
          <w:rFonts w:ascii="Arial" w:cs="Arial" w:eastAsia="Arial" w:hAnsi="Arial"/>
          <w:i/>
          <w:iCs/>
          <w:color w:val="666666"/>
          <w:sz w:val="28"/>
          <w:szCs w:val="28"/>
        </w:rPr>
        <w:t xml:space="preserve">A Digital Wind Tunnel for Human Behavior</w:t>
      </w:r>
    </w:p>
    <w:p>
      <w:pPr>
        <w:spacing w:after="400"/>
      </w:pPr>
    </w:p>
    <w:p>
      <w:pPr>
        <w:spacing w:after="100"/>
        <w:jc w:val="center"/>
      </w:pPr>
      <w:r>
        <w:rPr>
          <w:rFonts w:ascii="Arial" w:cs="Arial" w:eastAsia="Arial" w:hAnsi="Arial"/>
          <w:b/>
          <w:bCs/>
          <w:color w:val="0D1B2A"/>
          <w:sz w:val="32"/>
          <w:szCs w:val="32"/>
        </w:rPr>
        <w:t xml:space="preserve">MVP Specification &amp; Product Requirements Document</w:t>
      </w:r>
    </w:p>
    <w:p>
      <w:pPr>
        <w:spacing w:after="200"/>
      </w:pPr>
    </w:p>
    <w:p>
      <w:pPr>
        <w:spacing w:after="60"/>
        <w:jc w:val="center"/>
      </w:pPr>
      <w:r>
        <w:rPr>
          <w:rFonts w:ascii="Arial" w:cs="Arial" w:eastAsia="Arial" w:hAnsi="Arial"/>
          <w:color w:val="666666"/>
          <w:sz w:val="22"/>
          <w:szCs w:val="22"/>
        </w:rPr>
        <w:t xml:space="preserve">Version 1.0  |  February 2026</w:t>
      </w:r>
    </w:p>
    <w:p>
      <w:pPr>
        <w:spacing w:after="60"/>
        <w:jc w:val="center"/>
      </w:pPr>
      <w:r>
        <w:rPr>
          <w:rFonts w:ascii="Arial" w:cs="Arial" w:eastAsia="Arial" w:hAnsi="Arial"/>
          <w:b/>
          <w:bCs/>
          <w:color w:val="C0392B"/>
          <w:sz w:val="20"/>
          <w:szCs w:val="20"/>
        </w:rPr>
        <w:t xml:space="preserve">Classification: Confidential</w:t>
      </w:r>
    </w:p>
    <w:p>
      <w:pPr>
        <w:spacing w:after="1500"/>
      </w:pPr>
    </w:p>
    <w:p>
      <w:pPr>
        <w:jc w:val="center"/>
      </w:pPr>
      <w:r>
        <w:rPr>
          <w:rFonts w:ascii="Arial" w:cs="Arial" w:eastAsia="Arial" w:hAnsi="Arial"/>
          <w:color w:val="666666"/>
          <w:sz w:val="20"/>
          <w:szCs w:val="20"/>
        </w:rPr>
        <w:t xml:space="preserve">Prepared for: Stakeholders &amp; Engineering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Humaini.ty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Specification &amp; Product Requirements Document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28,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Release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 (Closed Beta)</w:t>
            </w:r>
          </w:p>
        </w:tc>
      </w:tr>
    </w:tbl>
    <w:p>
      <w:pPr>
        <w:spacing w:after="200"/>
      </w:pPr>
    </w:p>
    <w:p>
      <w:r>
        <w:br w:type="page"/>
      </w:r>
    </w:p>
    <w:p>
      <w:pPr>
        <w:pStyle w:val="Heading1"/>
      </w:pPr>
      <w:r>
        <w:t xml:space="preserve">Part I: Product Vision &amp; Strategy</w:t>
      </w:r>
    </w:p>
    <w:p>
      <w:pPr>
        <w:spacing w:after="100"/>
      </w:pPr>
    </w:p>
    <w:p>
      <w:pPr>
        <w:pStyle w:val="Heading2"/>
      </w:pPr>
      <w:r>
        <w:t xml:space="preserve">1.1 Product Vision</w:t>
      </w:r>
    </w:p>
    <w:p>
      <w:pPr>
        <w:spacing w:after="120"/>
      </w:pPr>
      <w:r>
        <w:t xml:space="preserve">Humaini.ty provides a digital wind tunnel for social scientists, product teams, and policy researchers to stress-test human behavior, policy changes, and social dynamics using a swarm of autonomous AI agents with high psychological fidelity.</w:t>
      </w:r>
    </w:p>
    <w:p>
      <w:pPr>
        <w:spacing w:after="120"/>
      </w:pPr>
      <w:r>
        <w:t xml:space="preserve">The platform enables organizations to simulate the results of their decisions before triggering the cause, replacing intuition and luck with data-driven previews of potential outcomes at a fraction of the cost of traditional research methods.</w:t>
      </w:r>
    </w:p>
    <w:p>
      <w:pPr>
        <w:spacing w:after="100"/>
      </w:pPr>
    </w:p>
    <w:p>
      <w:pPr>
        <w:pStyle w:val="Heading2"/>
      </w:pPr>
      <w:r>
        <w:t xml:space="preserve">1.2 Problem Statement</w:t>
      </w:r>
    </w:p>
    <w:p>
      <w:pPr>
        <w:spacing w:after="120"/>
      </w:pPr>
      <w:r>
        <w:t xml:space="preserve">Traditional behavioral research faces severe constraints: focus groups cost $5,000–20,000 per session, A/B tests require live users with reputational exposure, and longitudinal social studies take months to years. These approaches cannot scale to the complexity of modern product launches, policy decisions, or social interventions.</w:t>
      </w:r>
    </w:p>
    <w:p>
      <w:pPr>
        <w:spacing w:after="120"/>
      </w:pPr>
      <w:r>
        <w:t xml:space="preserve">Existing LLM-based simulation tools either lack psychological fidelity (simple persona prompting) or are locked behind enterprise pricing with no self-serve access (Simile AI at $100M+ valuation targets Fortune 500 only). There is no accessible platform that combines rigorous behavioral science methodology with self-serve experiment design.</w:t>
      </w:r>
    </w:p>
    <w:p>
      <w:pPr>
        <w:spacing w:after="100"/>
      </w:pPr>
    </w:p>
    <w:p>
      <w:pPr>
        <w:pStyle w:val="Heading2"/>
      </w:pPr>
      <w: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Science Researcher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 classic experiments, screen hypotheses before IRB-approved human studies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of recruitment, high cost, small 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Manager / UX Researcher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Stress-test feature rollouts, pricing changes, messaging across synthetic user segments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tests are slow and expose real users to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Analyst / Think Tank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population response to policy interventions (tax changes, public health mandates)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models miss individual-level heterogeneity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Educator / Student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interactive demonstrations of classic social science experiments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Textbook examples lack experiential learning</w:t>
            </w:r>
          </w:p>
        </w:tc>
      </w:tr>
    </w:tbl>
    <w:p>
      <w:pPr>
        <w:spacing w:after="100"/>
      </w:pPr>
    </w:p>
    <w:p>
      <w:pPr>
        <w:pStyle w:val="Heading2"/>
      </w:pPr>
      <w: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Humaini.ty Differentiator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Simile AI ($100M Series 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Enterprise-only digital twins from real human interviews; foundation model for behavior prediction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Self-serve platform; open experiment design; academic-accessible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 Labs ($69M)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interviews of real humans to build behavioral models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interview dependency; instant agent generation from personality parameters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LLM Prompting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persona prompting in ChatGPT/Claude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OPR architecture; memory persistence; validated fidelity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Traditional ABM Tools (NetLogo, Mesa)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agent simulation without LLM reasoning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reasoning; emergent behavior; cognitive bias modeling</w:t>
            </w:r>
          </w:p>
        </w:tc>
      </w:tr>
    </w:tbl>
    <w:p>
      <w:pPr>
        <w:spacing w:after="100"/>
      </w:pPr>
    </w:p>
    <w:p>
      <w:pPr>
        <w:pStyle w:val="Heading2"/>
      </w:pPr>
      <w:r>
        <w:t xml:space="preserve">1.5 Strategic Positioning</w:t>
      </w:r>
    </w:p>
    <w:p>
      <w:pPr>
        <w:spacing w:after="120"/>
      </w:pPr>
      <w:r>
        <w:t xml:space="preserve">Humaini.ty occupies the intersection of two market shifts: the transition from generative AI (content creation) to agentic simulation (behavior prediction), and the democratization of behavioral research tooling. While Simile pursues top-down enterprise sales grounded in real interview data, Humaini.ty targets bottom-up adoption through self-serve access, transparent methodology, and honest positioning about what synthetic agents can and cannot predict.</w:t>
      </w:r>
    </w:p>
    <w:p>
      <w:r>
        <w:br w:type="page"/>
      </w:r>
    </w:p>
    <w:p>
      <w:pPr>
        <w:pStyle w:val="Heading1"/>
      </w:pPr>
      <w:r>
        <w:t xml:space="preserve">Part II: Technical Architecture &amp; Research Foundation</w:t>
      </w:r>
    </w:p>
    <w:p>
      <w:pPr>
        <w:spacing w:after="100"/>
      </w:pPr>
    </w:p>
    <w:p>
      <w:pPr>
        <w:pStyle w:val="Heading2"/>
      </w:pPr>
      <w:r>
        <w:t xml:space="preserve">2.1 Agent Cognitive Architecture (OPR Loop)</w:t>
      </w:r>
    </w:p>
    <w:p>
      <w:pPr>
        <w:spacing w:after="120"/>
      </w:pPr>
      <w:r>
        <w:t xml:space="preserve">Each agent in Humaini.ty operates on a three-component cognitive architecture derived from the foundational Generative Agents research (Park et al., 2023). This Observation-Planning-Reflection (OPR) loop has been empirically validated as essential to behavioral believability; ablation studies demonstrate that removing any single component significantly degrades simulation fidelity.</w:t>
      </w:r>
    </w:p>
    <w:p>
      <w:pPr>
        <w:spacing w:after="60"/>
      </w:pPr>
    </w:p>
    <w:p>
      <w:pPr>
        <w:pStyle w:val="Heading3"/>
      </w:pPr>
      <w:r>
        <w:t xml:space="preserve">2.1.1 Memory Stream</w:t>
      </w:r>
    </w:p>
    <w:p>
      <w:pPr>
        <w:spacing w:after="120"/>
      </w:pPr>
      <w:r>
        <w:t xml:space="preserve">The Memory Stream is the backbone of agent cognition. It maintains a chronological log of all agent experiences as natural language records. Each memory object contains a timestamp, description, and computed importance score. Retrieval is governed by a weighted scoring function:</w:t>
      </w:r>
    </w:p>
    <w:p>
      <w:pPr>
        <w:spacing w:after="60"/>
      </w:pPr>
    </w:p>
    <w:p>
      <w:pPr>
        <w:spacing w:after="120"/>
        <w:jc w:val="center"/>
      </w:pPr>
      <w:r>
        <w:rPr>
          <w:rFonts w:ascii="Courier New" w:cs="Courier New" w:eastAsia="Courier New" w:hAnsi="Courier New"/>
          <w:i/>
          <w:iCs/>
          <w:sz w:val="22"/>
          <w:szCs w:val="22"/>
        </w:rPr>
        <w:t xml:space="preserve">Score = α(recency) + α(importance) + α(relevance)</w:t>
      </w:r>
    </w:p>
    <w:p>
      <w:pPr>
        <w:spacing w:after="60"/>
      </w:pPr>
    </w:p>
    <w:p>
      <w:pPr>
        <w:spacing w:after="120"/>
      </w:pPr>
      <w:r>
        <w:t xml:space="preserve">Recency uses an exponential decay function. Importance is scored by the LLM on a scale from mundane to poignant. Relevance is computed via cosine similarity between the query embedding and stored memory embeddings. All three factors are normalized to [0,1] and equally weighted. The top-ranked memories fitting the context window are injected into the agent’s prompt.</w:t>
      </w:r>
    </w:p>
    <w:p>
      <w:pPr>
        <w:spacing w:after="60"/>
      </w:pPr>
    </w:p>
    <w:p>
      <w:pPr>
        <w:pStyle w:val="Heading3"/>
      </w:pPr>
      <w:r>
        <w:t xml:space="preserve">2.1.2 Reflection</w:t>
      </w:r>
    </w:p>
    <w:p>
      <w:pPr>
        <w:spacing w:after="120"/>
      </w:pPr>
      <w:r>
        <w:t xml:space="preserve">Reflections are higher-level, abstract thoughts synthesized from raw observations. They are triggered periodically when accumulated importance scores of recent events exceed a configurable threshold (approximately 2–3 times per simulated day). The reflection process takes the 100 most recent memory records, prompts the LLM to identify the 3 most salient high-level questions, retrieves relevant memories for each question, and generates insight statements with cited evidence. Reflections are stored back into the Memory Stream and can themselves be reflected upon, forming a recursive tree structure of increasingly abstract self-knowledge.</w:t>
      </w:r>
    </w:p>
    <w:p>
      <w:pPr>
        <w:spacing w:after="60"/>
      </w:pPr>
    </w:p>
    <w:p>
      <w:pPr>
        <w:pStyle w:val="Heading3"/>
      </w:pPr>
      <w:r>
        <w:t xml:space="preserve">2.1.3 Planning</w:t>
      </w:r>
    </w:p>
    <w:p>
      <w:pPr>
        <w:spacing w:after="120"/>
      </w:pPr>
      <w:r>
        <w:t xml:space="preserve">Planning ensures behavioral consistency over time. Without plans, agents risk repetitive or incoherent actions. Plans are generated top-down: a broad daily schedule of 5–8 items is first created from the agent’s identity seed, trait profile, and previous day’s summary. This schedule is then recursively refined into granular action sequences with location, start time, and duration. Plans are stored in the Memory Stream and can be interrupted and revised when the agent encounters unexpected events in the environment.</w:t>
      </w:r>
    </w:p>
    <w:p>
      <w:pPr>
        <w:spacing w:after="200"/>
      </w:pPr>
    </w:p>
    <w:p>
      <w:pPr>
        <w:pStyle w:val="Heading2"/>
      </w:pPr>
      <w:r>
        <w:t xml:space="preserve">2.2 Fidelity &amp; Calibration Strategy</w:t>
      </w:r>
    </w:p>
    <w:p>
      <w:pPr>
        <w:spacing w:after="120"/>
      </w:pPr>
      <w:r>
        <w:t xml:space="preserve">Behavioral fidelity is the core technical challenge. Humaini.ty employs a multi-layered calibration approach informed by the latest research:</w:t>
      </w:r>
    </w:p>
    <w:p>
      <w:pPr>
        <w:spacing w:after="60"/>
      </w:pPr>
    </w:p>
    <w:p>
      <w:pPr>
        <w:pStyle w:val="Heading3"/>
      </w:pPr>
      <w:r>
        <w:t xml:space="preserve">2.2.1 Supervised Fine-Tuning (SFT) for Distributional Alignment</w:t>
      </w:r>
    </w:p>
    <w:p>
      <w:pPr>
        <w:spacing w:after="120"/>
      </w:pPr>
      <w:r>
        <w:t xml:space="preserve">Following the Socrates framework (Stanford HCI, 2025), we fine-tune base models on large-scale behavioral datasets. The SocSci210 dataset provides 2.9 million individual responses from 400,000+ participants across 210 social science experiments. Fine-tuning on this data improves distributional alignment with human responses by 26–30% over base models and outperforms GPT-4o by 13% on unseen studies. This forms the foundation layer of behavioral fidelity.</w:t>
      </w:r>
    </w:p>
    <w:p>
      <w:pPr>
        <w:spacing w:after="60"/>
      </w:pPr>
    </w:p>
    <w:p>
      <w:pPr>
        <w:pStyle w:val="Heading3"/>
      </w:pPr>
      <w:r>
        <w:t xml:space="preserve">2.2.2 Contrastive Preference Optimization (CPO)</w:t>
      </w:r>
    </w:p>
    <w:p>
      <w:pPr>
        <w:spacing w:after="120"/>
      </w:pPr>
      <w:r>
        <w:t xml:space="preserve">For scenarios requiring accurate individual-level prediction (rather than population distributions), CPO trains the model to distinguish between correct and incorrect human responses. This method produces the best prediction accuracy for individual behavioral choices and is particularly effective for game-theoretic scenarios like the Ultimatum Game and Prisoner’s Dilemma.</w:t>
      </w:r>
    </w:p>
    <w:p>
      <w:pPr>
        <w:spacing w:after="60"/>
      </w:pPr>
    </w:p>
    <w:p>
      <w:pPr>
        <w:pStyle w:val="Heading3"/>
      </w:pPr>
      <w:r>
        <w:t xml:space="preserve">2.2.3 Belief Anchoring with External Data</w:t>
      </w:r>
    </w:p>
    <w:p>
      <w:pPr>
        <w:spacing w:after="120"/>
      </w:pPr>
      <w:r>
        <w:t xml:space="preserve">Raw demographic prompting produces shallow, stereotype-driven behavior. Following Chuang et al. (2023), we anchor agent belief systems using interconnected belief networks derived from real survey data. If empirical data shows that 70% of a demographic group supports a given policy, the agent’s prompt is calibrated to reflect this distributional reality rather than relying on LLM training data alone.</w:t>
      </w:r>
    </w:p>
    <w:p>
      <w:pPr>
        <w:spacing w:after="60"/>
      </w:pPr>
    </w:p>
    <w:p>
      <w:pPr>
        <w:pStyle w:val="Heading3"/>
      </w:pPr>
      <w:r>
        <w:t xml:space="preserve">2.2.4 Validation Protocol</w:t>
      </w:r>
    </w:p>
    <w:p>
      <w:pPr>
        <w:spacing w:after="120"/>
      </w:pPr>
      <w:r>
        <w:t xml:space="preserve">Every simulation preset ships with a validation suite that compares agent outputs against known empirical benchmarks. The protocol includes distributional alignment testing (comparing agent response distributions against published survey results), behavioral replication testing (reproducing canonical experimental results like Ultimatum Game rejection rates), and interview-based probing (natural language interviews assessing self-knowledge, memory accuracy, plan coherence, and reflection quality). A Fidelity Score is computed and displayed to users before they draw conclusions from simulation results.</w:t>
      </w:r>
    </w:p>
    <w:p>
      <w:pPr>
        <w:spacing w:after="200"/>
      </w:pPr>
    </w:p>
    <w:p>
      <w:pPr>
        <w:pStyle w:val="Heading2"/>
      </w:pPr>
      <w:r>
        <w:t xml:space="preserve">2.3 Cognitive Bias Implementation</w:t>
      </w:r>
    </w:p>
    <w:p>
      <w:pPr>
        <w:spacing w:after="120"/>
      </w:pPr>
      <w:r>
        <w:t xml:space="preserve">Cognitive biases are implemented through a four-layer prompt architecture rather than simple instruction toggles: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gridCol w:w="4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Identity Seed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Five personality scores (1–10), demographics, role</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preamble with trait descriptors and behavioral tendencies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Belief Network</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Interconnected beliefs calibrated from survey data</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belief graph injected into context; beliefs are correlated, not independent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3: Bias Injection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probabilistic nudges per interaction</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 weights derived from peer-reviewed effect sizes (e.g., anchoring from Tversky &amp; Kahneman, 1974); applied as decision-modifying prompts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4: Memory &amp; Reflection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OPR loop with bias-consistent retrieval</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bias: relevance scoring weighted toward belief-consistent memories; Loss aversion: importance scoring amplified for loss-framed events</w:t>
            </w:r>
          </w:p>
        </w:tc>
      </w:tr>
    </w:tbl>
    <w:p>
      <w:pPr>
        <w:spacing w:after="60"/>
      </w:pPr>
    </w:p>
    <w:p>
      <w:pPr>
        <w:spacing w:after="120"/>
      </w:pPr>
      <w:r>
        <w:t xml:space="preserve">Each bias is parameterized using quantitative metrics from the behavioral science literature. Normalization bias uses a 30–40% decision-modification weight based on Ashforth &amp; Anand (2003). Anchoring bias is calibrated from Tversky &amp; Kahneman (1974) experimental data. These weights are dynamically adjusted during simulation to account for interaction effects between multiple active biases.</w:t>
      </w:r>
    </w:p>
    <w:p>
      <w:pPr>
        <w:spacing w:after="60"/>
      </w:pPr>
    </w:p>
    <w:p>
      <w:pPr>
        <w:spacing w:after="120"/>
      </w:pPr>
      <w:r>
        <w:rPr>
          <w:b/>
          <w:bCs/>
        </w:rPr>
        <w:t xml:space="preserve">Critical Honest Limitation: </w:t>
      </w:r>
      <w:r>
        <w:t xml:space="preserve">These biases are prompt-engineered approximations, not genuine cognitive processes. The agents produce behavior that is statistically consistent with biased human behavior but through fundamentally different mechanisms. This distinction is surfaced to all users in the platform’s methodology documentation.</w:t>
      </w:r>
    </w:p>
    <w:p>
      <w:r>
        <w:br w:type="page"/>
      </w:r>
    </w:p>
    <w:p>
      <w:pPr>
        <w:pStyle w:val="Heading1"/>
      </w:pPr>
      <w:r>
        <w:t xml:space="preserve">Part III: Infrastructure &amp; Agent Interaction Model</w:t>
      </w:r>
    </w:p>
    <w:p>
      <w:pPr>
        <w:spacing w:after="100"/>
      </w:pPr>
    </w:p>
    <w:p>
      <w:pPr>
        <w:pStyle w:val="Heading2"/>
      </w:pPr>
      <w:r>
        <w:t xml:space="preserve">3.1 AWS Bedrock AgentCore Hosting</w:t>
      </w:r>
    </w:p>
    <w:p>
      <w:pPr>
        <w:spacing w:after="120"/>
      </w:pPr>
      <w:r>
        <w:t xml:space="preserve">Humaini.ty is built on Amazon Bedrock AgentCore, which provides a serverless runtime purpose-built for deploying and scaling dynamic AI agents. The architecture leverages Bedrock’s native multi-agent collaboration capabilities with the Strands Agents SDK.</w:t>
      </w:r>
    </w:p>
    <w:p>
      <w:pPr>
        <w:spacing w:after="60"/>
      </w:pPr>
    </w:p>
    <w:p>
      <w:pPr>
        <w:pStyle w:val="Heading3"/>
      </w:pPr>
      <w:r>
        <w:t xml:space="preserve">3.1.1 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Humaini.ty 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AWS Service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Orchestrator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Bedrock Supervisor 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simulation clock, environment state, resource pools, and event dispatch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Persona Agents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Bedrock Collaborator Agents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agent has its own system prompt encoding Big Five traits, biases, and belief network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AgentCore Memory Service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cross-session memory per agent; vector store for retrieval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Identity &amp; 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AgentCore Identity Service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session isolation per simulation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Bus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SNS/SQS + EventBridge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Pub-sub event routing for agent-to-agent and agent-to-environment communication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Kinesis Data Streams → S3 → Athena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interaction logging and post-hoc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 Lambda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connections for real-time observation UI</w:t>
            </w:r>
          </w:p>
        </w:tc>
      </w:tr>
    </w:tbl>
    <w:p>
      <w:pPr>
        <w:spacing w:after="60"/>
      </w:pPr>
    </w:p>
    <w:p>
      <w:pPr>
        <w:pStyle w:val="Heading3"/>
      </w:pPr>
      <w:r>
        <w:t xml:space="preserve">3.1.2 Model Tiering Strategy</w:t>
      </w:r>
    </w:p>
    <w:p>
      <w:pPr>
        <w:spacing w:after="120"/>
      </w:pPr>
      <w:r>
        <w:t xml:space="preserve">Running 50–500 concurrent agents with multi-turn interactions generates massive LLM call volume. To manage cost and latency, Humaini.ty employs a tiered model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360"/>
        <w:gridCol w:w="23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 per 1K Calls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Background Agents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4.5 / Bedrock 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not under direct user observation; routine actions and reactions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$0.08–$0.15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Active Agents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in the user’s viewport or engaged in complex social interactions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$0.60–$1.20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Focal Agents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agents under deep analysis; reflection generation; hypothesis testing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$3.00–$6.00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4: Fine-Tuned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Socrates-Qwen-14B (self-hosted)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High-fidelity behavioral prediction when distributional accuracy is critical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$0.02–$0.05</w:t>
            </w:r>
          </w:p>
        </w:tc>
      </w:tr>
    </w:tbl>
    <w:p>
      <w:pPr>
        <w:spacing w:after="60"/>
      </w:pPr>
    </w:p>
    <w:p>
      <w:pPr>
        <w:spacing w:after="120"/>
      </w:pPr>
      <w:r>
        <w:t xml:space="preserve">Agents dynamically promote/demote between tiers based on simulation state. An agent escalates to Tier 2 when it enters the user’s observation window or engages in a conversation with another agent. It escalates to Tier 3 when a reflection is triggered or the user explicitly focuses on that agent.</w:t>
      </w:r>
    </w:p>
    <w:p>
      <w:pPr>
        <w:spacing w:after="200"/>
      </w:pPr>
    </w:p>
    <w:p>
      <w:pPr>
        <w:pStyle w:val="Heading2"/>
      </w:pPr>
      <w:r>
        <w:t xml:space="preserve">3.2 Agent Interaction Model: Event-Driven Hybrid</w:t>
      </w:r>
    </w:p>
    <w:p>
      <w:pPr>
        <w:spacing w:after="120"/>
      </w:pPr>
      <w:r>
        <w:t xml:space="preserve">Humaini.ty rejects turn-based interaction in favor of an organic, event-driven hybrid model that combines publish-subscribe messaging with stochastic continuous-time scheduling.</w:t>
      </w:r>
    </w:p>
    <w:p>
      <w:pPr>
        <w:spacing w:after="60"/>
      </w:pPr>
    </w:p>
    <w:p>
      <w:pPr>
        <w:pStyle w:val="Heading3"/>
      </w:pPr>
      <w:r>
        <w:t xml:space="preserve">3.2.1 Publish-Subscribe Layer (Reactive Behavior)</w:t>
      </w:r>
    </w:p>
    <w:p>
      <w:pPr>
        <w:spacing w:after="120"/>
      </w:pPr>
      <w:r>
        <w:t xml:space="preserve">All agents subscribe to topic channels corresponding to their environment context (e.g., “town_square_discussion”, “resource_pool_update”, “private_message:{agent_id}”). When any agent acts, the action is published to relevant topics. Subscribing agents process events based on their own internal priority queue, personality parameters, and current state. This enables organic reactive behavior: an extraverted agent will process and respond to social events faster than an introverted one.</w:t>
      </w:r>
    </w:p>
    <w:p>
      <w:pPr>
        <w:spacing w:after="60"/>
      </w:pPr>
    </w:p>
    <w:p>
      <w:pPr>
        <w:pStyle w:val="Heading3"/>
      </w:pPr>
      <w:r>
        <w:t xml:space="preserve">3.2.2 Stochastic Scheduling Layer (Proactive Behavior)</w:t>
      </w:r>
    </w:p>
    <w:p>
      <w:pPr>
        <w:spacing w:after="120"/>
      </w:pPr>
      <w:r>
        <w:t xml:space="preserve">In parallel with the reactive layer, each agent has an initiative timer governed by a stochastic distribution influenced by personality traits. High-extraversion agents have shorter intervals between self-initiated actions (starting conversations, exploring new areas). High-neuroticism agents have more frequent reactive checks (monitoring for negative events). A global priority queue determines which agent acts next, eliminating the artifacts of fixed time-step simulation where closely-separated events can be conflated.</w:t>
      </w:r>
    </w:p>
    <w:p>
      <w:pPr>
        <w:spacing w:after="60"/>
      </w:pPr>
    </w:p>
    <w:p>
      <w:pPr>
        <w:pStyle w:val="Heading3"/>
      </w:pPr>
      <w:r>
        <w:t xml:space="preserve">3.2.3 Dormancy Optimization</w:t>
      </w:r>
    </w:p>
    <w:p>
      <w:pPr>
        <w:spacing w:after="120"/>
      </w:pPr>
      <w:r>
        <w:t xml:space="preserve">Most agents are dormant most of the time. An agent only requires an LLM inference call when: (a) an event arrives on one of its subscribed topics and passes its attention threshold, (b) its stochastic initiative timer fires, or (c) a reflection is triggered by accumulated importance. This reduces actual LLM call volume by an estimated 70–85% compared to naive per-tick-per-agent invocation.</w:t>
      </w:r>
    </w:p>
    <w:p>
      <w:r>
        <w:br w:type="page"/>
      </w:r>
    </w:p>
    <w:p>
      <w:pPr>
        <w:pStyle w:val="Heading1"/>
      </w:pPr>
      <w:r>
        <w:t xml:space="preserve">Part IV: Functional Requirements (PRD)</w:t>
      </w:r>
    </w:p>
    <w:p>
      <w:pPr>
        <w:spacing w:after="100"/>
      </w:pPr>
    </w:p>
    <w:p>
      <w:pPr>
        <w:pStyle w:val="Heading2"/>
      </w:pPr>
      <w:r>
        <w:t xml:space="preserve">4.1 Module A: Agent Architect &amp; Persona Engine</w:t>
      </w:r>
    </w:p>
    <w:p>
      <w:pPr>
        <w:spacing w:after="60"/>
      </w:pPr>
    </w:p>
    <w:p>
      <w:pPr>
        <w:spacing w:after="120"/>
      </w:pPr>
      <w:r>
        <w:rPr>
          <w:b/>
          <w:bCs/>
        </w:rPr>
        <w:t xml:space="preserve">Purpose: </w:t>
      </w:r>
      <w:r>
        <w:t xml:space="preserve">Define the psychological and demographic DNA of the agent population.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 Big Five Configuration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sliders for Openness, Conscientiousness, Extraversion, Agreeableness, Neuroticism (1–10 scale). Real-time persona preview showing behavioral tendencies.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 changes produce visibly different agent behavior in test interactions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 Socio-Demographic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role (e.g., teacher, executive), income bracket, cultural background, education level. Dropdown + free-text 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 attributes are reflected in agent language, priorities, and decision-making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 Cognitive Bias Toggles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panel for Confirmation Bias, Loss Aversion, Anchoring, Sycophancy, Status Quo Bias, Bandwagon Effect. Each bias shows its effect-size weight.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(Post-MVP)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Biases produce measurable deviation from unbiased baseline in controlled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 Memory Depth Configuration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between Short-Term (session only), Medium-Term (vector memory with decay), and Persistent (full Memory Stream with reflections).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with persistent memory reference past interactions accurately; short-term agents do not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A5: Population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Batch-create N agents with specified distribution (e.g., “50% high-agreeableness, 50% low-agreeableness”) with randomized secondary traits.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generation completes in &lt;30 seconds for 100 agents with correct trait distributions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A6: Belief Anchoring Import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CSV of survey data to calibrate agent beliefs against empirical distributions.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(Future)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opinion distributions match uploaded survey data within 10% on validation test</w:t>
            </w:r>
          </w:p>
        </w:tc>
      </w:tr>
    </w:tbl>
    <w:p>
      <w:pPr>
        <w:spacing w:after="200"/>
      </w:pPr>
    </w:p>
    <w:p>
      <w:pPr>
        <w:pStyle w:val="Heading2"/>
      </w:pPr>
      <w:r>
        <w:t xml:space="preserve">4.2 Module B: Environment Presets (Swarm Orchestrator)</w:t>
      </w:r>
    </w:p>
    <w:p>
      <w:pPr>
        <w:spacing w:after="60"/>
      </w:pPr>
    </w:p>
    <w:p>
      <w:pPr>
        <w:spacing w:after="120"/>
      </w:pPr>
      <w:r>
        <w:rPr>
          <w:b/>
          <w:bCs/>
        </w:rPr>
        <w:t xml:space="preserve">Purpose: </w:t>
      </w:r>
      <w:r>
        <w:t xml:space="preserve">Pre-configured social worlds with embedded rules, incentives, and interaction mechanics.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Observables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 The Town Square (Echo Chambers)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Communication-heavy network with Follow/Block mechanics. Agents can form clusters, amplify messages, and filter information sources.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Polarization heatmap, subgroup formation graph, information cascade timeline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 The Common Goods (Tragedy of the Commons)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resource pool that depletes upon use and regenerates over time. Agents choose extraction rates.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level over time, free-rider identification, cooperation emergence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 The Marketplace (Ultimatum Game)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Bilateral bargaining with reputation scoring. Agents make offers, accept/reject, and update trust.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distribution, rejection rates by personality type, reputation network graph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 The Panopticon (Stanford Prison)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hierarchy with guard/prisoner roles, limited resources, power-asymmetry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 compliance rate, resistance events, psychological distress indicators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Custom Environment Builder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Drag-and-drop rule builder for defining custom resource mechanics, communication channels, and interaction constraints.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User-defined 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(Future)</w:t>
            </w:r>
          </w:p>
        </w:tc>
      </w:tr>
    </w:tbl>
    <w:p>
      <w:pPr>
        <w:spacing w:after="200"/>
      </w:pPr>
    </w:p>
    <w:p>
      <w:pPr>
        <w:pStyle w:val="Heading2"/>
      </w:pPr>
      <w:r>
        <w:t xml:space="preserve">4.3 Module C: Experiment Lab</w:t>
      </w:r>
    </w:p>
    <w:p>
      <w:pPr>
        <w:spacing w:after="60"/>
      </w:pPr>
    </w:p>
    <w:p>
      <w:pPr>
        <w:spacing w:after="120"/>
      </w:pPr>
      <w:r>
        <w:rPr>
          <w:b/>
          <w:bCs/>
        </w:rPr>
        <w:t xml:space="preserve">Purpose: </w:t>
      </w:r>
      <w:r>
        <w:t xml:space="preserve">Tools for researchers to bring their own theories and experimental designs into the simulation.</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1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Approach</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 Experiment Template Designer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form for defining IV, DV, conditions, agent populations, and success metrics. Outputs a reusable experiment JSON config.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form wizard with validation; stores configs in DynamoDB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PDF Experiment Parser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PDF describing a social science experiment. System extracts experimental design and maps to simulation configuration.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Inspired by Paper2Agent MCP pattern: Claude parses PDF → structured JSON → maps to agent config schema → generates testable variants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 Hypothesis Generator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analyzes experiment config and suggests 3–5 testable hypotheses with specific predictions.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Prompted generation with structured output; validated against experiment schema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 Interaction Logs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stream showing agent Internal Monologue vs. External Actions side by side.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stream from EventBridge; React split-pane viewer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 Fidelity Dashboard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validation scores comparing agent behavior against known empirical benchmarks for the selected preset.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Pre-computed validation runs; displayed as calibration report with confidence intervals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bl>
    <w:p>
      <w:pPr>
        <w:spacing w:after="200"/>
      </w:pPr>
    </w:p>
    <w:p>
      <w:pPr>
        <w:pStyle w:val="Heading2"/>
      </w:pPr>
      <w:r>
        <w:t xml:space="preserve">4.4 Module D: Observation &amp; Analytics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Sentiment Heatmap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2D visualization of agent sentiment states across the environment. Color-coded by valence.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 Subgroup Formation Graph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visualization showing emergent clusters, influence paths, and information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 Agent Spotlight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any agent to see their internal state: current beliefs, recent memories, active plan, and personality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Time-Series Analytics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any metric over simulation time: cooperation rates, resource levels, opinion distributions,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 Comparative Run Analyzer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comparison of two simulation runs with different 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 Export Report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PDF/DOCX report summarizing simulation parameters, key findings, and agent behavior highlights.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(MVP)</w:t>
            </w:r>
          </w:p>
        </w:tc>
      </w:tr>
    </w:tbl>
    <w:p>
      <w:r>
        <w:br w:type="page"/>
      </w:r>
    </w:p>
    <w:p>
      <w:pPr>
        <w:pStyle w:val="Heading1"/>
      </w:pPr>
      <w:r>
        <w:t xml:space="preserve">Part V: MVP User Workflow</w:t>
      </w:r>
    </w:p>
    <w:p>
      <w:pPr>
        <w:spacing w:after="100"/>
      </w:pPr>
    </w:p>
    <w:p>
      <w:pPr>
        <w:spacing w:after="120"/>
      </w:pPr>
      <w:r>
        <w:t xml:space="preserve">The MVP experience is designed to get a user from zero to insight in under 5 minutes: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60"/>
        <w:gridCol w:w="18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Define the Swarm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selects population distribution: e.g., “50% High-Agreeableness, 50% Low-Agreeableness, 100 agents”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Generator creates agents with randomized secondary traits; previews 3 sample agent profiles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sec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Select Preset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chooses “The Town Square (Echo Chambers)” from preset library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loads with default rules; user can optionally adjust 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 sec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Inject Prompt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enters starting stimulus: “A new law has been proposed to tax digital air; discuss.”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is broadcast to all agents via environment topic 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sec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Observe Emergence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watches the simulation unfold in real-time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heatmap updates live; subgroup formation graph evolves; interaction log streams agent thoughts vs.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 simulation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Spotlight &amp; Investigate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clicks on an influential agent to inspect internal 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Spotlight panel shows beliefs, memories, personality profile, and reasoning 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Export Insights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clicks “Export Report”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report with simulation parameters, key findings, influential agent analysis, and fidelity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sec</w:t>
            </w:r>
          </w:p>
        </w:tc>
      </w:tr>
    </w:tbl>
    <w:p>
      <w:r>
        <w:br w:type="page"/>
      </w:r>
    </w:p>
    <w:p>
      <w:pPr>
        <w:pStyle w:val="Heading1"/>
      </w:pPr>
      <w:r>
        <w:t xml:space="preserve">Part VI: Success Metrics &amp; Validation</w:t>
      </w:r>
    </w:p>
    <w:p>
      <w:pPr>
        <w:spacing w:after="100"/>
      </w:pPr>
    </w:p>
    <w:p>
      <w:pPr>
        <w:pStyle w:val="Heading2"/>
      </w:pPr>
      <w:r>
        <w:t xml:space="preserve">6.1 Fidelity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Ultimatum Game Replication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agents reject offers below 20% (matching human baselines)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 suite run against Marketplace preset with default population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Distributional Alignment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alignment with SocSci210 human response distributions on unseen studies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 suite comparing agent outputs against held-out experimental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Emergence Score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form ≥2 unplanned subgroups without direct prompting in Echo Chamber preset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clustering analysis on 100-agent Town Square simulation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 Accuracy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of agent reflections are factually consistent with their memory stream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Interview protocol: query agents about past interactions and verify against logs</w:t>
            </w:r>
          </w:p>
        </w:tc>
      </w:tr>
    </w:tbl>
    <w:p>
      <w:pPr>
        <w:spacing w:after="200"/>
      </w:pPr>
    </w:p>
    <w:p>
      <w:pPr>
        <w:pStyle w:val="Heading2"/>
      </w:pPr>
      <w:r>
        <w:t xml:space="preserve">6.2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Simulation</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minutes from account creation to running simulation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Completion Rate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&gt;70% of started simulations run to completion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 + 30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Export Rate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&gt;40% of completed simulations generate an export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 + 30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Active Researchers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unique researchers running simulations per 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 + 90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Usage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&gt;50% of users run a second simulation within 14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 + 90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Score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among beta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Launch + 60 days</w:t>
            </w:r>
          </w:p>
        </w:tc>
      </w:tr>
    </w:tbl>
    <w:p>
      <w:pPr>
        <w:spacing w:after="200"/>
      </w:pPr>
    </w:p>
    <w:p>
      <w:pPr>
        <w:pStyle w:val="Heading2"/>
      </w:pPr>
      <w:r>
        <w:t xml:space="preserve">6.3 Technical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Generation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seconds for 100 agents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Tick Latency (50 agents)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 seconds per interaction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Tick Latency (500 agents)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 seconds per interaction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Retrieval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&lt;500ms per agent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Simulation Capacity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simultaneous simulations (beta)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Uptime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(beta)</w:t>
            </w:r>
          </w:p>
        </w:tc>
      </w:tr>
    </w:tbl>
    <w:p>
      <w:r>
        <w:br w:type="page"/>
      </w:r>
    </w:p>
    <w:p>
      <w:pPr>
        <w:pStyle w:val="Heading1"/>
      </w:pPr>
      <w:r>
        <w:t xml:space="preserve">Part VII: Roadmap &amp; Phasing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2026 (12 weeks)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OPR architecture on Bedrock; Memory Stream with vector store; Single-preset prototype (Town Square); Basic observation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25-agent simulation running end-to-end; Internal demo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 (Closed Beta)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 (12 weeks)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Architect UI (Big Five + demographics); 2 presets (Town Square, Common Goods); Experiment Template Designer; Interaction Logs; Sentiment Heatmap; Fidelity Dashboard; Export Report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beta users; Fidelity Score &gt;70% on Ultimatum Game; &lt;5 min time-to-first-simulation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Expansion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 (12 weeks)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 Bias Toggles (P1 features); 2 additional presets (Marketplace, Panopticon); PDF Experiment Parser; Hypothesis Generator; Comparative Run Analyzer; Model tiering (Haiku/Sonnet/Opus)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agents per simulation; Public waitlist opens; First paying customer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Platform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2027 (12 weeks)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Environment Builder; Belief Anchoring Import; Fine-tuned behavioral models (Socrates-style); API access for programmatic simulation; Community experiment library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beta; API GA; 1,000 WAR (Weekly Active Researchers)</w:t>
            </w:r>
          </w:p>
        </w:tc>
      </w:tr>
    </w:tbl>
    <w:p>
      <w:r>
        <w:br w:type="page"/>
      </w:r>
    </w:p>
    <w:p>
      <w:pPr>
        <w:pStyle w:val="Heading1"/>
      </w:pPr>
      <w:r>
        <w:t xml:space="preserve">Part VIII: Risks, Limitations &amp; Ethical Considerations</w:t>
      </w:r>
    </w:p>
    <w:p>
      <w:pPr>
        <w:spacing w:after="100"/>
      </w:pPr>
    </w:p>
    <w:p>
      <w:pPr>
        <w:pStyle w:val="Heading2"/>
      </w:pPr>
      <w:r>
        <w:t xml:space="preserve">8.1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Fidelity gap: agents recite textbook results rather than genuinely simulating psychology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 Fidelity Scoring; position as hypothesis screening not ground truth; validate against held-out data, not training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explosion at scale: 500 agents with multi-turn conversations = millions of API 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tiering strategy; dormancy optimization (70–85% call reduction); aggressive caching of routine behaviors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sycophancy and consensus convergence: agents agree with each other under majority pressure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adversarial prompting for low-agreeableness agents; diversity injection in reflection prompts; monitoring for convergence anomalies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retrieval failures: agents fabricate or fail to retrieve relevant memories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retrieval (vector + keyword); reflection tree pruning; automated memory consistency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Bedrock rate limits and cold starts at scale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Pre-warm agent pools; batch inference where possible; fallback to self-hosted models for Tier 4</w:t>
            </w:r>
          </w:p>
        </w:tc>
      </w:tr>
    </w:tbl>
    <w:p>
      <w:pPr>
        <w:spacing w:after="200"/>
      </w:pPr>
    </w:p>
    <w:p>
      <w:pPr>
        <w:pStyle w:val="Heading2"/>
      </w:pPr>
      <w:r>
        <w:t xml:space="preserve">8.2 Ethical Considerations</w:t>
      </w:r>
    </w:p>
    <w:p>
      <w:pPr>
        <w:spacing w:after="60"/>
      </w:pPr>
    </w:p>
    <w:p>
      <w:pPr>
        <w:spacing w:after="120"/>
      </w:pPr>
      <w:r>
        <w:t xml:space="preserve">Humaini.ty operates in ethically sensitive territory. The platform’s methodology documentation and user-facing materials must be explicit about the following:</w:t>
      </w:r>
    </w:p>
    <w:p>
      <w:pPr>
        <w:spacing w:after="60"/>
      </w:pPr>
    </w:p>
    <w:p>
      <w:pPr>
        <w:spacing w:after="120"/>
      </w:pPr>
      <w:r>
        <w:rPr>
          <w:b/>
          <w:bCs/>
        </w:rPr>
        <w:t xml:space="preserve">8.2.1 Simulation ≠ Prediction. </w:t>
      </w:r>
      <w:r>
        <w:t xml:space="preserve">Agent outputs are structured story generation constrained by behavioral data, not physics-grade prediction. Users must not treat simulation results as causal evidence of how real populations will behave. All export reports include a prominent methodology disclaimer.</w:t>
      </w:r>
    </w:p>
    <w:p>
      <w:pPr>
        <w:spacing w:after="60"/>
      </w:pPr>
    </w:p>
    <w:p>
      <w:pPr>
        <w:spacing w:after="120"/>
      </w:pPr>
      <w:r>
        <w:rPr>
          <w:b/>
          <w:bCs/>
        </w:rPr>
        <w:t xml:space="preserve">8.2.2 Bias Amplification Risk. </w:t>
      </w:r>
      <w:r>
        <w:t xml:space="preserve">LLMs reflect and potentially amplify biases in their training data, particularly around stereotyped associations with demographic groups. The platform must include bias auditing tools and flag when agent behavior may reflect training data stereotypes rather than calibrated behavioral models.</w:t>
      </w:r>
    </w:p>
    <w:p>
      <w:pPr>
        <w:spacing w:after="60"/>
      </w:pPr>
    </w:p>
    <w:p>
      <w:pPr>
        <w:spacing w:after="120"/>
      </w:pPr>
      <w:r>
        <w:rPr>
          <w:b/>
          <w:bCs/>
        </w:rPr>
        <w:t xml:space="preserve">8.2.3 Misuse Potential. </w:t>
      </w:r>
      <w:r>
        <w:t xml:space="preserve">The platform could be used to model manipulation strategies, propaganda campaigns, or discriminatory policies. Terms of Service must prohibit adversarial use. Rate limiting and content moderation are applied to simulation prompts.</w:t>
      </w:r>
    </w:p>
    <w:p>
      <w:pPr>
        <w:spacing w:after="60"/>
      </w:pPr>
    </w:p>
    <w:p>
      <w:pPr>
        <w:spacing w:after="120"/>
      </w:pPr>
      <w:r>
        <w:rPr>
          <w:b/>
          <w:bCs/>
        </w:rPr>
        <w:t xml:space="preserve">8.2.4 Informed Consent Analog. </w:t>
      </w:r>
      <w:r>
        <w:t xml:space="preserve">While agents are not real people, the platform simulates identifiable demographic groups. Research outputs should not be published as evidence about real populations without human validation studies.</w:t>
      </w:r>
    </w:p>
    <w:p>
      <w:r>
        <w:br w:type="page"/>
      </w:r>
    </w:p>
    <w:p>
      <w:pPr>
        <w:pStyle w:val="Heading1"/>
      </w:pPr>
      <w:r>
        <w:t xml:space="preserve">Part IX: Technical Glossary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OPR Loop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Observation-Planning-Reflection cognitive architecture for generative agents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Stream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Chronological log of all agent experiences stored as natural language records with importance scores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 Tree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hierarchy of agent self-knowledge synthesized from raw observations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Fidelity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Quantitative measure of how closely agent behavior matches known human behavioral baselines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Belief Anchoring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Calibrating agent opinion distributions against real-world survey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Distributional Alignment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measure of how well agent response distributions match human response distributions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SFT (Supervised Fine-Tuning)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method that adjusts model weights on labeled behavioral data for population-level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CPO (Contrastive Preference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method that teaches models to distinguish correct from incorrect individual responses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Twin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constructed to behaviorally represent a specific real or synthetic individual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Agent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with memory, planning, and reflection capabilities that produces believable human-like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Dormancy Optimization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Reducing LLM inference calls by only invoking agents when events pass their attention threshold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Pub-Sub Interaction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Publish-subscribe messaging pattern where agents react to events on subscribed topic channels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Bedrock’s serverless runtime for deploying and scaling AI agents with managed memory and identity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Strands SDK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open-source framework for building multi-agent systems with swarm, graph, and workflow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Paper2Agent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Stanford framework for converting research papers into interactive AI agents via MCP servers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SocSci210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behavioral dataset: 2.9M responses from 400K+ participants across 210 social experiments</w:t>
            </w:r>
          </w:p>
        </w:tc>
      </w:tr>
    </w:tbl>
    <w:p>
      <w:pPr>
        <w:spacing w:after="200"/>
      </w:pPr>
    </w:p>
    <w:p>
      <w:pPr>
        <w:pBdr>
          <w:top w:val="single" w:color="2E75B6" w:sz="2" w:space="8"/>
        </w:pBdr>
        <w:spacing w:before="4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1B3A5C"/>
        <w:sz w:val="16"/>
        <w:szCs w:val="16"/>
      </w:rPr>
      <w:t xml:space="preserve">HUMAINI.TY</w:t>
    </w:r>
    <w:r>
      <w:rPr>
        <w:rFonts w:ascii="Arial" w:cs="Arial" w:eastAsia="Arial" w:hAnsi="Arial"/>
        <w:color w:val="666666"/>
        <w:sz w:val="16"/>
        <w:szCs w:val="16"/>
      </w:rPr>
      <w:t xml:space="preserve">	MVP &amp;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2026-02-28T15:21:45.588Z</dcterms:created>
  <dcterms:modified xsi:type="dcterms:W3CDTF">2026-02-28T15:21:45.589Z</dcterms:modified>
</cp:coreProperties>
</file>

<file path=docProps/custom.xml><?xml version="1.0" encoding="utf-8"?>
<Properties xmlns="http://schemas.openxmlformats.org/officeDocument/2006/custom-properties" xmlns:vt="http://schemas.openxmlformats.org/officeDocument/2006/docPropsVTypes"/>
</file>