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600" w:after="160" w:line="300" w:lineRule="auto"/>
      </w:pPr>
      <w:r>
        <w:rPr>
          <w:rFonts w:ascii="Microsoft YaHei" w:hAnsi="Microsoft YaHei" w:eastAsia="Microsoft YaHei"/>
          <w:b/>
          <w:i w:val="0"/>
          <w:color w:val="B17B20"/>
          <w:sz w:val="20"/>
        </w:rPr>
        <w:t>客户交付资料</w:t>
      </w:r>
    </w:p>
    <w:p>
      <w:pPr>
        <w:keepNext w:val="0"/>
        <w:spacing w:before="0" w:after="160" w:line="240" w:lineRule="auto"/>
      </w:pPr>
      <w:r>
        <w:rPr>
          <w:rFonts w:ascii="Microsoft YaHei" w:hAnsi="Microsoft YaHei" w:eastAsia="Microsoft YaHei"/>
          <w:b/>
          <w:color w:val="0B2545"/>
          <w:sz w:val="56"/>
        </w:rPr>
        <w:t>toKraft 网站后台使用指南</w:t>
      </w:r>
    </w:p>
    <w:p>
      <w:pPr>
        <w:keepNext w:val="0"/>
        <w:spacing w:before="0" w:after="480" w:line="300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6"/>
        </w:rPr>
        <w:t>WordPress + WooCommerce 内容、产品与订单日常操作手册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18"/>
              </w:rPr>
              <w:t>适用范围</w:t>
              <w:br/>
            </w:r>
            <w:r>
              <w:rPr>
                <w:rFonts w:ascii="Microsoft YaHei" w:hAnsi="Microsoft YaHei" w:eastAsia="Microsoft YaHei"/>
                <w:color w:val="0B2545"/>
                <w:sz w:val="21"/>
              </w:rPr>
              <w:t>内容维护、产品维护、订单处理、基础站点管理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18"/>
              </w:rPr>
              <w:t>交付版本</w:t>
              <w:br/>
            </w:r>
            <w:r>
              <w:rPr>
                <w:rFonts w:ascii="Microsoft YaHei" w:hAnsi="Microsoft YaHei" w:eastAsia="Microsoft YaHei"/>
                <w:color w:val="0B2545"/>
                <w:sz w:val="21"/>
              </w:rPr>
              <w:t>V1.0 | 2026 年 7 月 25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18"/>
              </w:rPr>
              <w:t>后台入口</w:t>
              <w:br/>
            </w:r>
            <w:r>
              <w:rPr>
                <w:rFonts w:ascii="Microsoft YaHei" w:hAnsi="Microsoft YaHei" w:eastAsia="Microsoft YaHei"/>
                <w:color w:val="0B2545"/>
                <w:sz w:val="21"/>
              </w:rPr>
              <w:t>http://localhost:8080/wp-admin/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18"/>
              </w:rPr>
              <w:t>建议角色</w:t>
              <w:br/>
            </w:r>
            <w:r>
              <w:rPr>
                <w:rFonts w:ascii="Microsoft YaHei" w:hAnsi="Microsoft YaHei" w:eastAsia="Microsoft YaHei"/>
                <w:color w:val="0B2545"/>
                <w:sz w:val="21"/>
              </w:rPr>
              <w:t>站点运营、内容编辑、商城运营</w:t>
            </w:r>
          </w:p>
        </w:tc>
      </w:tr>
    </w:tbl>
    <w:p>
      <w:pPr>
        <w:keepNext w:val="0"/>
        <w:spacing w:before="480" w:after="2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本指南基于当前已配置的实际后台界面整理。文中带有编号的截图用于定位功能入口；菜单名称可能会随着插件或权限调整而略有变化。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B17B20"/>
                <w:sz w:val="20"/>
              </w:rPr>
              <w:t xml:space="preserve">开始前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请使用已授权账号登录后台。编辑前先确认当前环境；若是正式站点，建议先完成备份或在测试环境验证。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使用边界与后台导航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后台主要分为内容、媒体、页面、WooCommerce、产品、支付和外观设置等模块。日常维护应遵循“先预览、后发布；先小范围验证、再批量调整”的原则。</w:t>
      </w:r>
    </w:p>
    <w:p>
      <w:pPr>
        <w:pStyle w:val="Heading2"/>
      </w:pPr>
      <w:r>
        <w:t>建议的权限分工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角色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可处理事项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避免直接修改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内容编辑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文章、图片、页面文案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站点地址、插件、支付参数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商城运营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产品、库存、订单状态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税率、物流、支付密钥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管理员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用户、菜单、外观、系统设置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未经确认的批量删除或迁移</w:t>
            </w:r>
          </w:p>
        </w:tc>
      </w:tr>
    </w:tbl>
    <w:p>
      <w:pPr>
        <w:pStyle w:val="Heading2"/>
      </w:pPr>
      <w:r>
        <w:t>每日操作清单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先检查仪表盘中的系统提醒、更新提示与 WooCommerce 待办。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内容或产品改动完成后，在前台页面用无痕窗口复核链接、图片和价格。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订单处理前核对状态、客户信息和付款情况；不要以测试订单替代真实交易记录。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20"/>
              </w:rPr>
              <w:t xml:space="preserve">高风险设置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不要在“设置 &gt; 常规”中随意修改 WordPress 地址或站点地址；这会造成本地、临时域名或正式域名访问和登录异常。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仪表盘：从哪里开始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0"/>
        </w:rPr>
        <w:t>仪表盘汇总站点更新、WooCommerce 待办及快捷入口。每次进入后台建议先查看这里，再进入具体模块。</w:t>
      </w:r>
    </w:p>
    <w:p>
      <w:pPr>
        <w:keepNext w:val="0"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63014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30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80" w:line="276" w:lineRule="auto"/>
      </w:pPr>
      <w:r>
        <w:rPr>
          <w:rFonts w:ascii="Microsoft YaHei" w:hAnsi="Microsoft YaHei" w:eastAsia="Microsoft YaHei"/>
          <w:b/>
          <w:color w:val="0B2545"/>
          <w:sz w:val="18"/>
        </w:rPr>
        <w:t>1. 左侧主菜单</w:t>
      </w:r>
      <w:r>
        <w:rPr>
          <w:rFonts w:ascii="Microsoft YaHei" w:hAnsi="Microsoft YaHei" w:eastAsia="Microsoft YaHei"/>
          <w:sz w:val="18"/>
        </w:rPr>
        <w:t xml:space="preserve">     </w:t>
      </w:r>
      <w:r>
        <w:rPr>
          <w:rFonts w:ascii="Microsoft YaHei" w:hAnsi="Microsoft YaHei" w:eastAsia="Microsoft YaHei"/>
          <w:b/>
          <w:color w:val="0B2545"/>
          <w:sz w:val="18"/>
        </w:rPr>
        <w:t>2. 页面标题与后台概览</w:t>
      </w:r>
      <w:r>
        <w:rPr>
          <w:rFonts w:ascii="Microsoft YaHei" w:hAnsi="Microsoft YaHei" w:eastAsia="Microsoft YaHei"/>
          <w:sz w:val="18"/>
        </w:rPr>
        <w:t xml:space="preserve">     </w:t>
      </w:r>
      <w:r>
        <w:rPr>
          <w:rFonts w:ascii="Microsoft YaHei" w:hAnsi="Microsoft YaHei" w:eastAsia="Microsoft YaHei"/>
          <w:b/>
          <w:color w:val="0B2545"/>
          <w:sz w:val="18"/>
        </w:rPr>
        <w:t>3. WooCommerce 设置卡片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通过 1 号区域切换到文章、媒体、页面、产品和 WooCommerce 模块。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在 2 号区域确认自己所在的后台页面，避免误把内容更新到错误模块。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如 3 号区域出现设置提醒，应由管理员确认后再进行配置，不建议内容编辑人员直接修改。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B17B20"/>
                <w:sz w:val="20"/>
              </w:rPr>
              <w:t xml:space="preserve">操作提示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如页面出现更新提示，先记录插件或主题名称，再在维护窗口中统一处理。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文章：发布 Blog 与案例内容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0"/>
        </w:rPr>
        <w:t>文章模块用于维护 Blog、指南和案例类内容。当前后台已包含实际文章数据及分类信息。</w:t>
      </w:r>
    </w:p>
    <w:p>
      <w:pPr>
        <w:keepNext w:val="0"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117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blog-posts-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17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80" w:line="276" w:lineRule="auto"/>
      </w:pPr>
      <w:r>
        <w:rPr>
          <w:rFonts w:ascii="Microsoft YaHei" w:hAnsi="Microsoft YaHei" w:eastAsia="Microsoft YaHei"/>
          <w:b/>
          <w:color w:val="0B2545"/>
          <w:sz w:val="18"/>
        </w:rPr>
        <w:t>1. 写文章</w:t>
      </w:r>
      <w:r>
        <w:rPr>
          <w:rFonts w:ascii="Microsoft YaHei" w:hAnsi="Microsoft YaHei" w:eastAsia="Microsoft YaHei"/>
          <w:sz w:val="18"/>
        </w:rPr>
        <w:t xml:space="preserve">     </w:t>
      </w:r>
      <w:r>
        <w:rPr>
          <w:rFonts w:ascii="Microsoft YaHei" w:hAnsi="Microsoft YaHei" w:eastAsia="Microsoft YaHei"/>
          <w:b/>
          <w:color w:val="0B2545"/>
          <w:sz w:val="18"/>
        </w:rPr>
        <w:t>2. 状态与筛选</w:t>
      </w:r>
      <w:r>
        <w:rPr>
          <w:rFonts w:ascii="Microsoft YaHei" w:hAnsi="Microsoft YaHei" w:eastAsia="Microsoft YaHei"/>
          <w:sz w:val="18"/>
        </w:rPr>
        <w:t xml:space="preserve">     </w:t>
      </w:r>
      <w:r>
        <w:rPr>
          <w:rFonts w:ascii="Microsoft YaHei" w:hAnsi="Microsoft YaHei" w:eastAsia="Microsoft YaHei"/>
          <w:b/>
          <w:color w:val="0B2545"/>
          <w:sz w:val="18"/>
        </w:rPr>
        <w:t>3. 文章标题列表</w:t>
      </w:r>
      <w:r>
        <w:rPr>
          <w:rFonts w:ascii="Microsoft YaHei" w:hAnsi="Microsoft YaHei" w:eastAsia="Microsoft YaHei"/>
          <w:sz w:val="18"/>
        </w:rPr>
        <w:t xml:space="preserve">     </w:t>
      </w:r>
      <w:r>
        <w:rPr>
          <w:rFonts w:ascii="Microsoft YaHei" w:hAnsi="Microsoft YaHei" w:eastAsia="Microsoft YaHei"/>
          <w:b/>
          <w:color w:val="0B2545"/>
          <w:sz w:val="18"/>
        </w:rPr>
        <w:t>4. 文章菜单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点击 1 号“写文章”新建内容；先填写标题、正文和特色图片，再补充分组与标签。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使用 2 号状态标签检查“已发布 / 草稿”，需要复核的内容先保存为草稿。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在 3 号标题列表中点击现有文章即可进入编辑；修改后先预览，再点击更新。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4 号菜单下可维护文章分类与标签，建议沿用已有命名体系，避免重复分类。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B17B20"/>
                <w:sz w:val="20"/>
              </w:rPr>
              <w:t xml:space="preserve">操作提示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特色图片建议使用统一比例且压缩后再上传；发布后请在前台确认封面、标题换行和正文图片是否正常。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产品：维护商品、价格与库存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0"/>
        </w:rPr>
        <w:t>产品模块承载商城商品。列表中可以快速查看产品图片、SKU、库存、价格和分类。</w:t>
      </w:r>
    </w:p>
    <w:p>
      <w:pPr>
        <w:keepNext w:val="0"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117373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ducts-list-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737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80" w:line="276" w:lineRule="auto"/>
      </w:pPr>
      <w:r>
        <w:rPr>
          <w:rFonts w:ascii="Microsoft YaHei" w:hAnsi="Microsoft YaHei" w:eastAsia="Microsoft YaHei"/>
          <w:b/>
          <w:color w:val="0B2545"/>
          <w:sz w:val="18"/>
        </w:rPr>
        <w:t>1. 添加新产品</w:t>
      </w:r>
      <w:r>
        <w:rPr>
          <w:rFonts w:ascii="Microsoft YaHei" w:hAnsi="Microsoft YaHei" w:eastAsia="Microsoft YaHei"/>
          <w:sz w:val="18"/>
        </w:rPr>
        <w:t xml:space="preserve">     </w:t>
      </w:r>
      <w:r>
        <w:rPr>
          <w:rFonts w:ascii="Microsoft YaHei" w:hAnsi="Microsoft YaHei" w:eastAsia="Microsoft YaHei"/>
          <w:b/>
          <w:color w:val="0B2545"/>
          <w:sz w:val="18"/>
        </w:rPr>
        <w:t>2. 筛选条件</w:t>
      </w:r>
      <w:r>
        <w:rPr>
          <w:rFonts w:ascii="Microsoft YaHei" w:hAnsi="Microsoft YaHei" w:eastAsia="Microsoft YaHei"/>
          <w:sz w:val="18"/>
        </w:rPr>
        <w:t xml:space="preserve">     </w:t>
      </w:r>
      <w:r>
        <w:rPr>
          <w:rFonts w:ascii="Microsoft YaHei" w:hAnsi="Microsoft YaHei" w:eastAsia="Microsoft YaHei"/>
          <w:b/>
          <w:color w:val="0B2545"/>
          <w:sz w:val="18"/>
        </w:rPr>
        <w:t>3. 产品数据行</w:t>
      </w:r>
      <w:r>
        <w:rPr>
          <w:rFonts w:ascii="Microsoft YaHei" w:hAnsi="Microsoft YaHei" w:eastAsia="Microsoft YaHei"/>
          <w:sz w:val="18"/>
        </w:rPr>
        <w:t xml:space="preserve">     </w:t>
      </w:r>
      <w:r>
        <w:rPr>
          <w:rFonts w:ascii="Microsoft YaHei" w:hAnsi="Microsoft YaHei" w:eastAsia="Microsoft YaHei"/>
          <w:b/>
          <w:color w:val="0B2545"/>
          <w:sz w:val="18"/>
        </w:rPr>
        <w:t>4. 产品菜单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通过 1 号“添加新产品”创建商品；完成名称、描述、图片、价格、库存和分类后再发布。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使用 2 号区域按分类、产品类型或库存状态筛选，以便做批量核对。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点击 3 号产品名称进入编辑页；SKU 应保持唯一，改价和库存调整需复核。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4 号菜单提供分类、标签、属性及材料库入口；属性命名应保持一致，避免同义重复。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B17B20"/>
                <w:sz w:val="20"/>
              </w:rPr>
              <w:t xml:space="preserve">操作提示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批量操作前先在筛选结果中确认条目数。若商品涉及变体、税费或库存联动，请只由商城运营或管理员处理。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订单：查看、核对与跟进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0"/>
        </w:rPr>
        <w:t>订单由 WooCommerce 统一管理。当前订单列表支持按日期、销售渠道和客户条件进行筛选。</w:t>
      </w:r>
    </w:p>
    <w:p>
      <w:pPr>
        <w:keepNext w:val="0"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5042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hop-orders-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04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80" w:line="276" w:lineRule="auto"/>
      </w:pPr>
      <w:r>
        <w:rPr>
          <w:rFonts w:ascii="Microsoft YaHei" w:hAnsi="Microsoft YaHei" w:eastAsia="Microsoft YaHei"/>
          <w:b/>
          <w:color w:val="0B2545"/>
          <w:sz w:val="18"/>
        </w:rPr>
        <w:t>1. 添加订单</w:t>
      </w:r>
      <w:r>
        <w:rPr>
          <w:rFonts w:ascii="Microsoft YaHei" w:hAnsi="Microsoft YaHei" w:eastAsia="Microsoft YaHei"/>
          <w:sz w:val="18"/>
        </w:rPr>
        <w:t xml:space="preserve">     </w:t>
      </w:r>
      <w:r>
        <w:rPr>
          <w:rFonts w:ascii="Microsoft YaHei" w:hAnsi="Microsoft YaHei" w:eastAsia="Microsoft YaHei"/>
          <w:b/>
          <w:color w:val="0B2545"/>
          <w:sz w:val="18"/>
        </w:rPr>
        <w:t>2. 订单编号</w:t>
      </w:r>
      <w:r>
        <w:rPr>
          <w:rFonts w:ascii="Microsoft YaHei" w:hAnsi="Microsoft YaHei" w:eastAsia="Microsoft YaHei"/>
          <w:sz w:val="18"/>
        </w:rPr>
        <w:t xml:space="preserve">     </w:t>
      </w:r>
      <w:r>
        <w:rPr>
          <w:rFonts w:ascii="Microsoft YaHei" w:hAnsi="Microsoft YaHei" w:eastAsia="Microsoft YaHei"/>
          <w:b/>
          <w:color w:val="0B2545"/>
          <w:sz w:val="18"/>
        </w:rPr>
        <w:t>3. 订单状态</w:t>
      </w:r>
      <w:r>
        <w:rPr>
          <w:rFonts w:ascii="Microsoft YaHei" w:hAnsi="Microsoft YaHei" w:eastAsia="Microsoft YaHei"/>
          <w:sz w:val="18"/>
        </w:rPr>
        <w:t xml:space="preserve">     </w:t>
      </w:r>
      <w:r>
        <w:rPr>
          <w:rFonts w:ascii="Microsoft YaHei" w:hAnsi="Microsoft YaHei" w:eastAsia="Microsoft YaHei"/>
          <w:b/>
          <w:color w:val="0B2545"/>
          <w:sz w:val="18"/>
        </w:rPr>
        <w:t>4. WooCommerce 订单菜单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日常处理应从 4 号 WooCommerce &gt; 订单进入，不建议通过浏览器收藏的旧地址直接操作。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点击 2 号订单编号进入详情，核对商品、金额、客户信息和订单备注。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根据实际处理进度更新 3 号状态；状态变化可能触发邮件或库存动作，提交前需确认。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1 号“添加订单”通常仅用于人工创建订单或内部流程；正常线上订单会自动进入列表。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B17B20"/>
                <w:sz w:val="20"/>
              </w:rPr>
              <w:t xml:space="preserve">操作提示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不要删除或伪造订单来测试流程。测试请使用独立测试订单，并在完成验证后按既定规则归档。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首页运营：内容区块编辑器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0"/>
        </w:rPr>
        <w:t>入口为 toKraft &gt; 首页内容区块。此页面直接维护首屏、服务卡、设备、材料与底部说明等运营字段。</w:t>
      </w:r>
    </w:p>
    <w:p>
      <w:pPr>
        <w:keepNext w:val="0"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54506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-operations-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50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先在顶部的内容入口地图确认要改的是首页文案、产品、案例、材料、设备、Blog 或订单。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文本、按钮链接、展示数量和图片均可在对应区块编辑；保存前核对链接使用站内相对路径，例如 /quote/ 或 /shop/。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轮播图建议使用统一的正方形素材；服务卡建议使用统一的 4:5 竖图，避免前台裁切不一致。</w:t>
      </w:r>
    </w:p>
    <w:p>
      <w:r>
        <w:br w:type="page"/>
      </w:r>
    </w:p>
    <w:p>
      <w:pPr>
        <w:pStyle w:val="Heading1"/>
      </w:pPr>
      <w:r>
        <w:t>7. 商品编辑：图片、SKU、价格与库存入口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0"/>
        </w:rPr>
        <w:t>单个商品页面包含商品图片、分类、材料关联，以及“产品数据”中的常规、库存、配送、属性和变量标签。</w:t>
      </w:r>
    </w:p>
    <w:p>
      <w:pPr>
        <w:keepNext w:val="0"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6398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duct-edit-sku-stock-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39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从 产品 &gt; 全部产品 点击商品名称进入此页；先确认商品类型后，再填写常规价格或促销价。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在 产品数据 &gt; 库存 填写唯一 SKU；启用“管理库存”后填写数量和低库存阈值。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产品图片与产品相册分别维护主图和补充图；更改后在前台商品页和购物车复核。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B17B20"/>
                <w:sz w:val="20"/>
              </w:rPr>
              <w:t xml:space="preserve">操作提示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示例页面中的字段仅用于说明位置。不得将生产密钥、客户隐私信息或测试数据当作正式商品资料发布。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报价记录：客户提交后的留存入口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0"/>
        </w:rPr>
        <w:t>客户的 3D 询价会留存在 toKraft &gt; 报价记录。列表可查看报价编号、客户、材料与数量、状态、负责人和模型文件。</w:t>
      </w:r>
    </w:p>
    <w:p>
      <w:pPr>
        <w:keepNext w:val="0"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5042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quote-records-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04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按状态和日期筛选报价；点击报价编号进入详情，不要只依赖邮件收件箱跟进。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列表中的演示数据用于展示工作流；上线前应替换或删除演示询价，避免混入真实业务数据。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新询价进入后先核对客户邮件、材料和数量，再分配负责人。</w:t>
      </w:r>
    </w:p>
    <w:p>
      <w:r>
        <w:br w:type="page"/>
      </w:r>
    </w:p>
    <w:p>
      <w:pPr>
        <w:pStyle w:val="Heading1"/>
      </w:pPr>
      <w:r>
        <w:t>9. 报价详情：状态、负责人和正式报价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0"/>
        </w:rPr>
        <w:t>报价详情页集中保存客户工艺参数、内部跟进状态、负责人、正式报价金额和内部备注。</w:t>
      </w:r>
    </w:p>
    <w:p>
      <w:pPr>
        <w:keepNext w:val="0"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5042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quote-detail-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04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核对材料、颜色、数量、填充率、壁厚、层高、支撑、附着方式、备注和模型文件。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在“跟进状态”中更新待处理、已报价、已成交或未成交；同时指定负责人，保证交接可追溯。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填写正式报价和内部跟进备注后点击更新；客户可见的报价应通过受控的业务沟通渠道发送。</w:t>
      </w:r>
    </w:p>
    <w:p>
      <w:r>
        <w:br w:type="page"/>
      </w:r>
    </w:p>
    <w:p>
      <w:pPr>
        <w:pStyle w:val="Heading1"/>
      </w:pPr>
      <w:r>
        <w:t>10. 材料库：材料名称与产品关联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0"/>
        </w:rPr>
        <w:t>toKraft &gt; 材料库当前以分类法管理材料名称、别名、描述和关联产品数，用于保持产品与材料筛选的一致性。</w:t>
      </w:r>
    </w:p>
    <w:p>
      <w:pPr>
        <w:keepNext w:val="0"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25710" cy="5806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aterial-library-annot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5710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编辑既有材料可调整名称、别名与描述；删除前必须确认关联产品数为零或已完成迁移。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在商品编辑页为商品选择正确的材料库项目，避免同一种材料建立多个近似名称。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材料详情或前台文案需通过实际前台页面复核，不能仅根据后台分类名称判断展示结果。</w:t>
      </w:r>
    </w:p>
    <w:p>
      <w:r>
        <w:br w:type="page"/>
      </w:r>
    </w:p>
    <w:p>
      <w:pPr>
        <w:pStyle w:val="Heading1"/>
      </w:pPr>
      <w:r>
        <w:t>11. 支付：付款提供程序的配置入口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0"/>
        </w:rPr>
        <w:t>WooCommerce &gt; 设置 &gt; 付款是启用或管理收款方式的唯一入口。截图中的卡片加载状态也说明：上线前应确认每个网关实际加载完成。</w:t>
      </w:r>
    </w:p>
    <w:p>
      <w:pPr>
        <w:keepNext w:val="0"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5042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ayments-settings-annot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04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先确定业务实际支持的付款方式、适用地区和收款责任人，再启用对应支付提供程序。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进入某一支付方式的管理页后填写客户可见标题、说明和必要的商户资料；密钥只保存于受控配置中。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完成后必须使用测试订单验证付款成功、取消、邮件通知、订单状态和库存扣减。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B17B20"/>
                <w:sz w:val="20"/>
              </w:rPr>
              <w:t xml:space="preserve">操作提示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若支付提供程序长期停留在加载状态，请由技术人员检查 WooCommerce、浏览器控制台和插件兼容性；未确认前不要上线收款。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Blog 编辑页面：封面与发布前复核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0"/>
        </w:rPr>
        <w:t>文章编辑器用于修改标题、正文、分类、标签与特色图片。发布前以统一封面尺寸和前台预览为准。</w:t>
      </w:r>
    </w:p>
    <w:p>
      <w:pPr>
        <w:keepNext w:val="0"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5042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blog-edit-annota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04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封面图使用统一的横向比例和清晰主题；每篇文章都检查标题、摘要、正文首屏和相关推荐的视觉效果。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先保存草稿或预览，再更新已发布文章；不要直接覆盖尚未确认的客户内容。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更新后打开前台文章页，检查封面裁切、标题叠加、正文图片和移动端布局。</w:t>
      </w:r>
    </w:p>
    <w:p>
      <w:r>
        <w:br w:type="page"/>
      </w:r>
    </w:p>
    <w:p>
      <w:pPr>
        <w:pStyle w:val="Heading1"/>
      </w:pPr>
      <w:r>
        <w:t>13. 页面、菜单与基础设置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页面模块用于首页、Blog、Cart、Checkout 等固定页面；外观模块通常用于菜单和主题外观。此类修改会影响全站导航，建议先在测试环境验证。</w:t>
      </w:r>
    </w:p>
    <w:p>
      <w:pPr>
        <w:pStyle w:val="Heading2"/>
      </w:pPr>
      <w:r>
        <w:t>页面维护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进入“页面”后，点击页面标题打开编辑器；更新首页、购物车或结账页前，先在前台确认该页面承担的功能。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固定页面改动后，应分别检查桌面与移动端，并确认页脚、导航和按钮链接仍然可用。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涉及页面模板或短代码的内容，不建议直接删除；先复制保留原文，再做最小范围调整。</w:t>
      </w:r>
    </w:p>
    <w:p>
      <w:pPr>
        <w:pStyle w:val="Heading2"/>
      </w:pPr>
      <w:r>
        <w:t>菜单与外观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菜单调整前记录原始顺序和链接；若有多语言、页脚菜单或移动端菜单，请分别确认。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仅修改文字或链接时，优先使用菜单编辑；涉及布局、颜色或主题文件时，应交由管理员处理。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20"/>
              </w:rPr>
              <w:t xml:space="preserve">设置原则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站点地址、固定链接、支付、税率、物流和插件配置属于系统级设置。非管理员不要修改；如确有需求，先做完整备份并记录变更项。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发布前检查与常见问题</w:t>
      </w:r>
    </w:p>
    <w:p>
      <w:pPr>
        <w:pStyle w:val="Heading2"/>
      </w:pPr>
      <w:r>
        <w:t>发布前 60 秒检查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标题、摘要、分类、标签和特色图是否完整；图片比例是否一致。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产品的 SKU、价格、库存、分类和前台展示图是否正确。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链接、按钮、购物车和结账页能否正常打开；不要只在已登录后台状态下判断。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正式发布后，用无痕窗口或其他设备检查前台结果。</w:t>
      </w:r>
    </w:p>
    <w:p>
      <w:pPr>
        <w:pStyle w:val="Heading2"/>
      </w:pPr>
      <w:r>
        <w:t>常见问题处理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现象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建议处理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登录后跳回登录页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不要直接改数据库地址。先确认当前访问域名、浏览器 Cookie 和 WordPress 地址设置，并联系管理员统一处理。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产品图片不显示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检查特色图片/产品图库是否已上传、图片链接是否有效，并在前台刷新缓存后复核。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订单状态无法判断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不要猜测付款状态；进入订单详情核对付款记录和订单备注，必要时由商城负责人确认。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改动后前台未变化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先清浏览器缓存并使用无痕窗口检查；仍无变化时记录页面、时间和操作步骤后提交给技术人员。</w:t>
            </w:r>
          </w:p>
        </w:tc>
      </w:tr>
    </w:tbl>
    <w:p>
      <w:pPr>
        <w:keepNext w:val="0"/>
        <w:spacing w:before="320" w:after="0" w:line="300" w:lineRule="auto"/>
      </w:pPr>
      <w:r>
        <w:rPr>
          <w:rFonts w:ascii="Microsoft YaHei" w:hAnsi="Microsoft YaHei" w:eastAsia="Microsoft YaHei"/>
          <w:b/>
          <w:i w:val="0"/>
          <w:color w:val="0B2545"/>
          <w:sz w:val="20"/>
        </w:rPr>
        <w:t>支持交接时请同时提供：操作账号角色、发生时间、相关页面 URL、截图、复现步骤以及是否影响订单或客户。</w:t>
      </w:r>
    </w:p>
    <w:p>
      <w:r>
        <w:br w:type="page"/>
      </w:r>
    </w:p>
    <w:p>
      <w:pPr>
        <w:pStyle w:val="Heading1"/>
      </w:pPr>
      <w:r>
        <w:t>15. 首页运营：内容区块、素材与前台验证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首页不是通过普通“页面编辑器”维护，而是由专门的 toKraft 首页内容区块管理器控制。该入口用于管理首页文案、按钮、图片和展示数量；材料、案例、设备等卡片内容则从各自的资料库自动读取。</w:t>
      </w:r>
    </w:p>
    <w:p>
      <w:pPr>
        <w:pStyle w:val="Heading2"/>
      </w:pPr>
      <w:r>
        <w:t>进入路径与可编辑范围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420"/>
        <w:gridCol w:w="324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后台位置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可以维护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维护后前台位置</w:t>
            </w:r>
          </w:p>
        </w:tc>
      </w:tr>
      <w:tr>
        <w:tc>
          <w:tcPr>
            <w:tcW w:type="dxa" w:w="27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toKraft &gt; 首页内容区块</w:t>
            </w:r>
          </w:p>
        </w:tc>
        <w:tc>
          <w:tcPr>
            <w:tcW w:type="dxa" w:w="342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Hero 标题、说明、轮播图、两个主按钮及卖点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首页首屏</w:t>
            </w:r>
          </w:p>
        </w:tc>
      </w:tr>
      <w:tr>
        <w:tc>
          <w:tcPr>
            <w:tcW w:type="dxa" w:w="27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同一页面的服务/商店区块</w:t>
            </w:r>
          </w:p>
        </w:tc>
        <w:tc>
          <w:tcPr>
            <w:tcW w:type="dxa" w:w="342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卡片标题、说明、要点、按钮和配图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首页服务与商城入口</w:t>
            </w:r>
          </w:p>
        </w:tc>
      </w:tr>
      <w:tr>
        <w:tc>
          <w:tcPr>
            <w:tcW w:type="dxa" w:w="27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同一页面的材料/案例区块</w:t>
            </w:r>
          </w:p>
        </w:tc>
        <w:tc>
          <w:tcPr>
            <w:tcW w:type="dxa" w:w="342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区块标题、说明、显示数量、按钮链接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首页材料与应用展示</w:t>
            </w:r>
          </w:p>
        </w:tc>
      </w:tr>
      <w:tr>
        <w:tc>
          <w:tcPr>
            <w:tcW w:type="dxa" w:w="27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toKraft &gt; 材料库 / 应用案例 / 设备</w:t>
            </w:r>
          </w:p>
        </w:tc>
        <w:tc>
          <w:tcPr>
            <w:tcW w:type="dxa" w:w="342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卡片实际内容、图片、是否精选、排序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首页自动读取的材料、案例和设备卡片</w:t>
            </w:r>
          </w:p>
        </w:tc>
      </w:tr>
    </w:tbl>
    <w:p>
      <w:pPr>
        <w:pStyle w:val="Heading2"/>
      </w:pPr>
      <w:r>
        <w:t>首页运营步骤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进入“toKraft &gt; 首页内容区块”，先确认需要调整的是首屏、服务/商店、设备、材料/案例还是底部说明区块。不要把材料卡片的实际信息改在首页文案字段里。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首屏若使用单图，可替换主视觉；若使用轮播模式，可选择最多 5 张轮播图。更新前统一准备裁切后的图片，并检查按钮文字和目标链接。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服务与商店卡片中的“要点”按一行一项填写。按钮链接优先使用站内相对路径，例如 /quote/、/shop/、/materials/，避免误写临时域名。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材料、案例和设备均会按后台数据自动显示。首页仅决定显示数量和区块文案；要让某个材料或案例上首页，需要到对应资料库勾选“Show on homepage / 首页展示”。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保存后打开前台首页，用无痕窗口检查：首屏文字换行、按钮跳转、图片裁切、材料卡片数量和案例排序。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B17B20"/>
                <w:sz w:val="20"/>
              </w:rPr>
              <w:t xml:space="preserve">首页运营边界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首页管理器不等同于拖拽式页面搭建器。涉及结构、组件样式或区块顺序的改动，应由技术人员处理；运营人员应限定在文案、图片、链接和展示数量。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商品维护与库存：从编辑到前台销售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商品维护需要同时完成基础信息、价格、库存、图片和前台展示信息。仅改商品标题或库存状态，可能无法让客户得到正确的购买信息。</w:t>
      </w:r>
    </w:p>
    <w:p>
      <w:pPr>
        <w:pStyle w:val="Heading2"/>
      </w:pPr>
      <w:r>
        <w:t>单个商品编辑路径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进入“产品 &gt; 全部产品”，点击商品名称进入编辑页。先确认商品类型（简单产品或可变产品），再开始调整。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在页面顶部填写商品名称、长描述和简短描述；右侧设置商品分类、产品主图与产品图库。主图建议 1600 x 1600 px，图库建议至少 1600 x 1200 px，保持光线与背景一致。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打开“产品数据 &gt; 常规”：维护常规售价、促销价及税务状态。价格改动后，必须在前台商品页和购物车各检查一次。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打开“产品数据 &gt; 库存”：填写唯一 SKU；若需要按件扣减，勾选“管理库存”，设置库存数量、低库存阈值和缺货状态。未启用库存管理时，至少要正确设置“有货 / 缺货 / 缺货待补”。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打开“产品数据 &gt; 配送”：填写真实重量、长宽高。页面右侧的“toKraft Product Setup”用于填写前台展示尺寸说明；它不替代配送尺寸。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如商品有颜色、规格或材质变体，先在“属性”中建立属性，再进入“变体”创建每个可售组合，分别维护价格、SKU、库存和图片。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点击“更新”后，用前台无痕窗口确认商品图片、价格、可选项、库存提示、加入购物车和结账流程。</w:t>
      </w:r>
    </w:p>
    <w:p>
      <w:pPr>
        <w:pStyle w:val="Heading2"/>
      </w:pPr>
      <w:r>
        <w:t>库存处理规则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360"/>
        <w:gridCol w:w="360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场景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后台操作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必须复核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新增可售库存</w:t>
            </w:r>
          </w:p>
        </w:tc>
        <w:tc>
          <w:tcPr>
            <w:tcW w:type="dxa" w:w="336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产品数据 &gt; 库存 &gt; 库存数量</w:t>
            </w:r>
          </w:p>
        </w:tc>
        <w:tc>
          <w:tcPr>
            <w:tcW w:type="dxa" w:w="36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SKU 是否正确；前台是否显示“有货”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暂停销售</w:t>
            </w:r>
          </w:p>
        </w:tc>
        <w:tc>
          <w:tcPr>
            <w:tcW w:type="dxa" w:w="336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库存状态改为“缺货”，或将商品改为草稿</w:t>
            </w:r>
          </w:p>
        </w:tc>
        <w:tc>
          <w:tcPr>
            <w:tcW w:type="dxa" w:w="36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前台不能继续加入购物车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变体缺货</w:t>
            </w:r>
          </w:p>
        </w:tc>
        <w:tc>
          <w:tcPr>
            <w:tcW w:type="dxa" w:w="336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编辑该变体自己的库存和状态</w:t>
            </w:r>
          </w:p>
        </w:tc>
        <w:tc>
          <w:tcPr>
            <w:tcW w:type="dxa" w:w="36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其他变体不应被误设为缺货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批量修改</w:t>
            </w:r>
          </w:p>
        </w:tc>
        <w:tc>
          <w:tcPr>
            <w:tcW w:type="dxa" w:w="336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先筛选目标商品，再在批量编辑中修改</w:t>
            </w:r>
          </w:p>
        </w:tc>
        <w:tc>
          <w:tcPr>
            <w:tcW w:type="dxa" w:w="36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筛选结果数量、价格单位和影响范围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20"/>
              </w:rPr>
              <w:t xml:space="preserve">库存提醒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WooCommerce 只会按已启用的“管理库存”逻辑扣减数量。对变体商品，库存通常在变体层级维护；不要仅修改父商品的状态后就认为全部变体已更新。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支付定义：启用前要准备什么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支付方式在“WooCommerce &gt; 设置 &gt; 支付”中定义。支付开关不仅影响结账页，还会影响订单状态、客户邮件和履约开始时间，因此必须以实际收款能力为准。</w:t>
      </w:r>
    </w:p>
    <w:p>
      <w:pPr>
        <w:pStyle w:val="Heading2"/>
      </w:pPr>
      <w:r>
        <w:t>当前环境的支付状态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20"/>
              </w:rPr>
              <w:t xml:space="preserve">当前配置核对结果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本次截图时，付款提供程序列表仍处于加载状态，无法据此确认任何网关已启用或已完成收款资料配置。上线前请逐项打开并核验实际可见的付款方式、商户资料、结账页显示和测试订单结果。</w:t>
            </w:r>
          </w:p>
        </w:tc>
      </w:tr>
    </w:tbl>
    <w:p>
      <w:pPr>
        <w:spacing w:after="0"/>
      </w:pPr>
    </w:p>
    <w:p>
      <w:pPr>
        <w:pStyle w:val="Heading2"/>
      </w:pPr>
      <w:r>
        <w:t>每种支付方式需准备的资料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4020"/>
        <w:gridCol w:w="300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方式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启用前必须准备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配置后验证</w:t>
            </w:r>
          </w:p>
        </w:tc>
      </w:tr>
      <w:tr>
        <w:tc>
          <w:tcPr>
            <w:tcW w:type="dxa" w:w="234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银行转账（BACS）</w:t>
            </w:r>
          </w:p>
        </w:tc>
        <w:tc>
          <w:tcPr>
            <w:tcW w:type="dxa" w:w="402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收款主体名称、银行名称、账号/IBAN、SWIFT/BIC、订单付款备注与到账确认流程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结账页文案、客户邮件、订单是否进入待付款/保留状态</w:t>
            </w:r>
          </w:p>
        </w:tc>
      </w:tr>
      <w:tr>
        <w:tc>
          <w:tcPr>
            <w:tcW w:type="dxa" w:w="234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货到付款（COD）</w:t>
            </w:r>
          </w:p>
        </w:tc>
        <w:tc>
          <w:tcPr>
            <w:tcW w:type="dxa" w:w="402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可用配送区域、适用商品、收款责任人和拒收处理规则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仅在允许的配送方式和地区显示</w:t>
            </w:r>
          </w:p>
        </w:tc>
      </w:tr>
      <w:tr>
        <w:tc>
          <w:tcPr>
            <w:tcW w:type="dxa" w:w="234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支票付款</w:t>
            </w:r>
          </w:p>
        </w:tc>
        <w:tc>
          <w:tcPr>
            <w:tcW w:type="dxa" w:w="402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收件人、邮寄地址、付款说明与人工核销规则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客户看到的说明与内部核销流程一致</w:t>
            </w:r>
          </w:p>
        </w:tc>
      </w:tr>
      <w:tr>
        <w:tc>
          <w:tcPr>
            <w:tcW w:type="dxa" w:w="234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PayPal 或在线卡支付</w:t>
            </w:r>
          </w:p>
        </w:tc>
        <w:tc>
          <w:tcPr>
            <w:tcW w:type="dxa" w:w="402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已认证商户账号、生产环境 API/密钥、回调地址、退款和对账负责人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沙盒测试成功后才切生产；完成付款、取消、退款各测一次</w:t>
            </w:r>
          </w:p>
        </w:tc>
      </w:tr>
    </w:tbl>
    <w:p>
      <w:pPr>
        <w:pStyle w:val="Heading2"/>
      </w:pPr>
      <w:r>
        <w:t>配置和上线步骤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先由业务负责人确认实际可接受的付款方式和地区；不提供的方式请关闭，避免客户下单后无法收款。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进入“WooCommerce &gt; 设置 &gt; 支付”，点击相应方式的管理按钮，填写标题、结账页说明、订单邮件说明和必要账户资料。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银行转账、支票、货到付款是人工确认型方式：必须明确谁确认收款、何时将订单改为处理中或已完成。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第三方在线支付必须先使用测试模式和测试订单验证；生产密钥不得写入页面文案、截图或普通文档。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上线前在无痕窗口走完一次下单流程，检查付款方式显示、客户邮件、订单后台状态与库存扣减是否一致。</w:t>
      </w:r>
    </w:p>
    <w:p>
      <w:r>
        <w:br w:type="page"/>
      </w:r>
    </w:p>
    <w:p>
      <w:pPr>
        <w:pStyle w:val="Heading1"/>
      </w:pPr>
      <w:r>
        <w:t>18. 3D 材料与报价表单：资料维护和提交数据去向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3D 业务包含两条不同的数据链路：材料资料链路负责前台材料库、首页材料卡片和报价下拉选项；报价表单链路负责接收客户的模型参数与文件。二者需要分别维护和查看。</w:t>
      </w:r>
    </w:p>
    <w:p>
      <w:pPr>
        <w:pStyle w:val="Heading2"/>
      </w:pPr>
      <w:r>
        <w:t>材料库：维护首页和报价页可选材料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进入“toKraft &gt; 材料库”。当前后台页面维护材料名称、别名、描述和关联产品数；名称应与报价页和商品页使用的术语保持一致。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编辑材料前先检查关联产品数；若需要合并或改名，先迁移关联商品，避免前台筛选页出现空分类或重复材料。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商品的主图和图集在“产品 &gt; 编辑产品”中维护，不要把材料分类页当作产品图片管理器。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首页材料区块的标题、说明和展示数量在“toKraft &gt; 首页内容区块”中维护；保存后必须在前台复核实际卡片。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最终报价仍应在人工审查模型文件后确认，材料分类本身不等同于报价规则。</w:t>
      </w:r>
    </w:p>
    <w:p>
      <w:pPr>
        <w:pStyle w:val="Heading2"/>
      </w:pPr>
      <w:r>
        <w:t>3D 报价表单：客户提交后去哪里看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B17B20"/>
                <w:sz w:val="20"/>
              </w:rPr>
              <w:t xml:space="preserve">当前系统行为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客户提交 3D 询价后，系统会在“toKraft &gt; 报价记录”中创建可筛选记录。详情页保存联系人、邮箱、公司、材料、颜色、数量、工艺参数、模型文件、跟进状态、负责人、正式报价和内部备注；通知邮件可作为辅助提醒，而不是唯一业务记录。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查看新报价：进入“toKraft &gt; 报价记录”，按日期或状态筛选；点击报价编号进入详情页。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查看模型文件：在报价详情的“模型文件”字段打开关联文件；必要时再通过“媒体 &gt; 媒体库”按上传时间辅助核对。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报价审核：核对材料、数量、层高、填充率、支撑、尺寸与可制造性；填写正式报价和内部备注，并明确分配负责人。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000000"/>
          <w:sz w:val="21"/>
        </w:rPr>
        <w:t>团队协作：状态统一使用待处理、已报价、已成交或未成交；更新前后都保留关键决策和客户沟通摘要，避免只依赖个人邮箱。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20"/>
              </w:rPr>
              <w:t xml:space="preserve">交付前检查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报价记录已具备状态、负责人、报价金额与备注字段。上线前请提交一条测试询价，验证记录生成、文件关联、邮件提醒和负责人交接是否完整；测试数据需明确标识或按规则清理。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Microsoft YaHei" w:hAnsi="Microsoft YaHei" w:eastAsia="Microsoft YaHei"/>
        <w:color w:val="5B6573"/>
        <w:sz w:val="17"/>
      </w:rPr>
      <w:t xml:space="preserve">客户交付版本  |  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Microsoft YaHei" w:hAnsi="Microsoft YaHei" w:eastAsia="Microsoft YaHei"/>
        <w:color w:val="5B6573"/>
        <w:sz w:val="17"/>
      </w:rPr>
      <w:t>toKraft | WordPress 后台使用指南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toKraft WordPress 后台使用指南</dc:title>
  <dc:subject>客户交付 - WordPress 与 WooCommerce 后台操作手册</dc:subject>
  <dc:creator>toKraft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