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B5E59" w14:textId="3129699B" w:rsidR="00551AF0" w:rsidRDefault="00353B9B" w:rsidP="00AC49F4">
      <w:pPr>
        <w:jc w:val="both"/>
        <w:rPr>
          <w:b/>
        </w:rPr>
      </w:pPr>
      <w:r>
        <w:rPr>
          <w:b/>
        </w:rPr>
        <w:t xml:space="preserve">Proposal Title: </w:t>
      </w:r>
      <w:r w:rsidR="00C0067D">
        <w:rPr>
          <w:b/>
        </w:rPr>
        <w:t>Bankruptcy Prediction System</w:t>
      </w:r>
      <w:r w:rsidR="00D02919">
        <w:rPr>
          <w:b/>
        </w:rPr>
        <w:t xml:space="preserve"> with Fuzzy Logic</w:t>
      </w:r>
    </w:p>
    <w:p w14:paraId="452ED836" w14:textId="77777777" w:rsidR="00353B9B" w:rsidRDefault="00353B9B" w:rsidP="00AC49F4">
      <w:pPr>
        <w:jc w:val="both"/>
      </w:pPr>
    </w:p>
    <w:tbl>
      <w:tblPr>
        <w:tblStyle w:val="TableGrid"/>
        <w:tblW w:w="0" w:type="auto"/>
        <w:tblLook w:val="04A0" w:firstRow="1" w:lastRow="0" w:firstColumn="1" w:lastColumn="0" w:noHBand="0" w:noVBand="1"/>
      </w:tblPr>
      <w:tblGrid>
        <w:gridCol w:w="4788"/>
        <w:gridCol w:w="4788"/>
      </w:tblGrid>
      <w:tr w:rsidR="00D02919" w14:paraId="50720A95" w14:textId="77777777" w:rsidTr="00D02919">
        <w:tc>
          <w:tcPr>
            <w:tcW w:w="4788" w:type="dxa"/>
          </w:tcPr>
          <w:p w14:paraId="21C3833E" w14:textId="23164BF3" w:rsidR="00D02919" w:rsidRP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rPr>
                <w:b/>
              </w:rPr>
            </w:pPr>
            <w:r w:rsidRPr="00D02919">
              <w:rPr>
                <w:b/>
              </w:rPr>
              <w:t>Team Member</w:t>
            </w:r>
          </w:p>
        </w:tc>
        <w:tc>
          <w:tcPr>
            <w:tcW w:w="4788" w:type="dxa"/>
          </w:tcPr>
          <w:p w14:paraId="648EAC3A" w14:textId="2F26018C" w:rsidR="00D02919" w:rsidRP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rPr>
                <w:b/>
              </w:rPr>
            </w:pPr>
            <w:r w:rsidRPr="00D02919">
              <w:rPr>
                <w:b/>
              </w:rPr>
              <w:t>Matric No</w:t>
            </w:r>
          </w:p>
        </w:tc>
      </w:tr>
      <w:tr w:rsidR="00D02919" w14:paraId="3D73C016" w14:textId="77777777" w:rsidTr="00D02919">
        <w:tc>
          <w:tcPr>
            <w:tcW w:w="4788" w:type="dxa"/>
          </w:tcPr>
          <w:p w14:paraId="420CC3FB" w14:textId="60161D04"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Low Qi Wei</w:t>
            </w:r>
          </w:p>
        </w:tc>
        <w:tc>
          <w:tcPr>
            <w:tcW w:w="4788" w:type="dxa"/>
          </w:tcPr>
          <w:p w14:paraId="7EC74374" w14:textId="4B641565"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B031510128</w:t>
            </w:r>
          </w:p>
        </w:tc>
      </w:tr>
      <w:tr w:rsidR="00D02919" w14:paraId="6CDF3675" w14:textId="77777777" w:rsidTr="00D02919">
        <w:tc>
          <w:tcPr>
            <w:tcW w:w="4788" w:type="dxa"/>
          </w:tcPr>
          <w:p w14:paraId="1C9CEB14" w14:textId="59958F98"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 xml:space="preserve">Chin </w:t>
            </w:r>
            <w:proofErr w:type="spellStart"/>
            <w:r>
              <w:t>Kon</w:t>
            </w:r>
            <w:proofErr w:type="spellEnd"/>
            <w:r>
              <w:t xml:space="preserve"> Yee</w:t>
            </w:r>
          </w:p>
        </w:tc>
        <w:tc>
          <w:tcPr>
            <w:tcW w:w="4788" w:type="dxa"/>
          </w:tcPr>
          <w:p w14:paraId="4AF324FF" w14:textId="59B29422"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B031510363</w:t>
            </w:r>
          </w:p>
        </w:tc>
      </w:tr>
      <w:tr w:rsidR="00D02919" w14:paraId="2B273264" w14:textId="77777777" w:rsidTr="00D02919">
        <w:tc>
          <w:tcPr>
            <w:tcW w:w="4788" w:type="dxa"/>
          </w:tcPr>
          <w:p w14:paraId="4A390EF4" w14:textId="4AD1498B"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proofErr w:type="spellStart"/>
            <w:r w:rsidRPr="00D02919">
              <w:t>Nur</w:t>
            </w:r>
            <w:proofErr w:type="spellEnd"/>
            <w:r w:rsidRPr="00D02919">
              <w:t xml:space="preserve"> </w:t>
            </w:r>
            <w:proofErr w:type="spellStart"/>
            <w:r w:rsidRPr="00D02919">
              <w:t>Farahin</w:t>
            </w:r>
            <w:proofErr w:type="spellEnd"/>
            <w:r w:rsidRPr="00D02919">
              <w:t xml:space="preserve"> </w:t>
            </w:r>
            <w:proofErr w:type="spellStart"/>
            <w:r w:rsidRPr="00D02919">
              <w:t>bt</w:t>
            </w:r>
            <w:proofErr w:type="spellEnd"/>
            <w:r w:rsidRPr="00D02919">
              <w:t xml:space="preserve"> Abdul Halim</w:t>
            </w:r>
          </w:p>
        </w:tc>
        <w:tc>
          <w:tcPr>
            <w:tcW w:w="4788" w:type="dxa"/>
          </w:tcPr>
          <w:p w14:paraId="09FF8893" w14:textId="59FF2818"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B031510371</w:t>
            </w:r>
          </w:p>
        </w:tc>
      </w:tr>
      <w:tr w:rsidR="00D02919" w14:paraId="37588BF8" w14:textId="77777777" w:rsidTr="00D02919">
        <w:tc>
          <w:tcPr>
            <w:tcW w:w="4788" w:type="dxa"/>
          </w:tcPr>
          <w:p w14:paraId="19C4E8A4" w14:textId="2CB20F50"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 xml:space="preserve">Chong Wen </w:t>
            </w:r>
            <w:proofErr w:type="spellStart"/>
            <w:r>
              <w:t>Jie</w:t>
            </w:r>
            <w:proofErr w:type="spellEnd"/>
          </w:p>
        </w:tc>
        <w:tc>
          <w:tcPr>
            <w:tcW w:w="4788" w:type="dxa"/>
          </w:tcPr>
          <w:p w14:paraId="321DABE7" w14:textId="46024DCC"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B031510131</w:t>
            </w:r>
          </w:p>
        </w:tc>
      </w:tr>
      <w:tr w:rsidR="00D02919" w14:paraId="1FA8A031" w14:textId="77777777" w:rsidTr="00D02919">
        <w:tc>
          <w:tcPr>
            <w:tcW w:w="4788" w:type="dxa"/>
          </w:tcPr>
          <w:p w14:paraId="5AFE74C5" w14:textId="72879AFE"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proofErr w:type="spellStart"/>
            <w:r w:rsidRPr="00D02919">
              <w:t>Shadheeskumar</w:t>
            </w:r>
            <w:proofErr w:type="spellEnd"/>
            <w:r w:rsidRPr="00D02919">
              <w:t xml:space="preserve"> </w:t>
            </w:r>
            <w:proofErr w:type="spellStart"/>
            <w:r w:rsidRPr="00D02919">
              <w:t>Thinakaran</w:t>
            </w:r>
            <w:proofErr w:type="spellEnd"/>
          </w:p>
        </w:tc>
        <w:tc>
          <w:tcPr>
            <w:tcW w:w="4788" w:type="dxa"/>
          </w:tcPr>
          <w:p w14:paraId="6ED294F0" w14:textId="5751F7D6" w:rsidR="00D02919" w:rsidRDefault="00D02919" w:rsidP="00D02919">
            <w:pPr>
              <w:pBdr>
                <w:top w:val="none" w:sz="0" w:space="0" w:color="auto"/>
                <w:left w:val="none" w:sz="0" w:space="0" w:color="auto"/>
                <w:bottom w:val="none" w:sz="0" w:space="0" w:color="auto"/>
                <w:right w:val="none" w:sz="0" w:space="0" w:color="auto"/>
                <w:between w:val="none" w:sz="0" w:space="0" w:color="auto"/>
              </w:pBdr>
              <w:jc w:val="center"/>
            </w:pPr>
            <w:r>
              <w:t>B031510230</w:t>
            </w:r>
          </w:p>
        </w:tc>
      </w:tr>
    </w:tbl>
    <w:p w14:paraId="771DAE5F" w14:textId="77777777" w:rsidR="00551AF0" w:rsidRDefault="00551AF0" w:rsidP="00AC49F4">
      <w:pPr>
        <w:jc w:val="both"/>
      </w:pPr>
    </w:p>
    <w:p w14:paraId="48CEEB8A" w14:textId="64984CD6" w:rsidR="00353B9B" w:rsidRDefault="00353B9B" w:rsidP="007F4F76">
      <w:pPr>
        <w:jc w:val="center"/>
      </w:pPr>
      <w:r>
        <w:t xml:space="preserve">Submission Date: </w:t>
      </w:r>
      <w:r w:rsidR="007F4F76">
        <w:t>26</w:t>
      </w:r>
      <w:r w:rsidR="007F4F76" w:rsidRPr="007F4F76">
        <w:rPr>
          <w:vertAlign w:val="superscript"/>
        </w:rPr>
        <w:t>th</w:t>
      </w:r>
      <w:r w:rsidR="007F4F76">
        <w:t xml:space="preserve"> November, 2017</w:t>
      </w:r>
    </w:p>
    <w:p w14:paraId="1467534B" w14:textId="77777777" w:rsidR="00353B9B" w:rsidRDefault="00353B9B" w:rsidP="00AC49F4">
      <w:pPr>
        <w:jc w:val="both"/>
      </w:pPr>
    </w:p>
    <w:p w14:paraId="48B77436" w14:textId="77777777" w:rsidR="00551AF0" w:rsidRDefault="00C0067D" w:rsidP="00AC49F4">
      <w:pPr>
        <w:jc w:val="both"/>
        <w:rPr>
          <w:b/>
        </w:rPr>
      </w:pPr>
      <w:r>
        <w:rPr>
          <w:b/>
        </w:rPr>
        <w:t>Introduction</w:t>
      </w:r>
    </w:p>
    <w:p w14:paraId="40F225A4" w14:textId="77777777" w:rsidR="00551AF0" w:rsidRDefault="00C0067D" w:rsidP="00AC49F4">
      <w:pPr>
        <w:jc w:val="both"/>
      </w:pPr>
      <w:r>
        <w:t xml:space="preserve">Risk assessment is critical because the complicated network of mutual credit obligations can make the actual risk exposure of the entire system invisible at the level of individual institutions. It helps prevent an individual or an organization from committing into something that might cause extreme harm monetary or in any form. Although sophisticated data mining algorithms have been developed to help assess risk in an unprecedented accuracy, in an actual risk assessment process, the discovery of bankruptcy prediction knowledge from experts is still regarded as an important task because experts’ predictions depend on their subjectivity [1]. Finance sector is one of the industry that requires meticulous risk and credibility assessment system. For example, banks are most likely to expose to economic risk scenarios and substantial losses might incur if a shareholder goes bankrupt. The same applies to real-estate industry where banks are required to assess the property buyer on their financial portfolio when they are applying for loans. </w:t>
      </w:r>
    </w:p>
    <w:p w14:paraId="0BFB5EE1" w14:textId="77777777" w:rsidR="00B32CD9" w:rsidRDefault="00B32CD9" w:rsidP="00AC49F4">
      <w:pPr>
        <w:jc w:val="both"/>
      </w:pPr>
    </w:p>
    <w:p w14:paraId="45738659" w14:textId="1CDCFDF1" w:rsidR="00B32CD9" w:rsidRPr="00B32CD9" w:rsidRDefault="00B32CD9" w:rsidP="00AC49F4">
      <w:pPr>
        <w:jc w:val="both"/>
        <w:rPr>
          <w:b/>
        </w:rPr>
      </w:pPr>
      <w:r w:rsidRPr="00B32CD9">
        <w:rPr>
          <w:b/>
        </w:rPr>
        <w:t>Why is fuzzy logic needed in this project?</w:t>
      </w:r>
    </w:p>
    <w:p w14:paraId="249ADF3E" w14:textId="74DFB434" w:rsidR="00551AF0" w:rsidRPr="005B334E" w:rsidRDefault="005B334E" w:rsidP="00AC49F4">
      <w:pPr>
        <w:jc w:val="both"/>
        <w:rPr>
          <w:lang w:val="en-US"/>
        </w:rPr>
      </w:pPr>
      <w:r>
        <w:t>The Law of the Excluded Middle mandates that every statement is either true or false while fuzzy logic subverts</w:t>
      </w:r>
      <w:r>
        <w:rPr>
          <w:lang w:val="en-US"/>
        </w:rPr>
        <w:t xml:space="preserve"> this idea by measure the “truthiness” of a statement.</w:t>
      </w:r>
      <w:r w:rsidR="00C30468">
        <w:rPr>
          <w:lang w:val="en-US"/>
        </w:rPr>
        <w:t xml:space="preserve"> To define whether an institute has gone bankruptcy or not, many factors have to be considered carefully </w:t>
      </w:r>
      <w:r w:rsidR="0043372E">
        <w:rPr>
          <w:lang w:val="en-US"/>
        </w:rPr>
        <w:t>before declaring bankruptcy. Many existed methods are quantitative and objective which makes predictions unreliable because defining risks are subjective and this is where fuzzy logic plays a major role.</w:t>
      </w:r>
    </w:p>
    <w:p w14:paraId="6506C138" w14:textId="77777777" w:rsidR="00B32CD9" w:rsidRDefault="00B32CD9" w:rsidP="00AC49F4">
      <w:pPr>
        <w:jc w:val="both"/>
      </w:pPr>
    </w:p>
    <w:p w14:paraId="64731F1E" w14:textId="77777777" w:rsidR="00551AF0" w:rsidRDefault="00C0067D" w:rsidP="00AC49F4">
      <w:pPr>
        <w:jc w:val="both"/>
        <w:rPr>
          <w:b/>
        </w:rPr>
      </w:pPr>
      <w:r>
        <w:rPr>
          <w:b/>
        </w:rPr>
        <w:t>Solution</w:t>
      </w:r>
    </w:p>
    <w:p w14:paraId="2F7DBAAF" w14:textId="77777777" w:rsidR="00551AF0" w:rsidRDefault="00C0067D" w:rsidP="00AC49F4">
      <w:pPr>
        <w:jc w:val="both"/>
      </w:pPr>
      <w:r>
        <w:t xml:space="preserve">A fuzzy logic system will be provided to emulate bankruptcy prediction system. The Qualitative_Brankruptcy dataset will be acquired from the UCI Machine Learning repository. The dataset contains 6 qualitative parameters which are Industry risk, Management risk, Financial flexibility, Credibility, Competitiveness and Operating risk. Also, the dataset contains 250 instances and 2 classes which is Bankruptcy(B) and Non-Bankruptcy(NB). </w:t>
      </w:r>
    </w:p>
    <w:p w14:paraId="056F9DED" w14:textId="77777777" w:rsidR="00551AF0" w:rsidRDefault="00551AF0" w:rsidP="00AC49F4">
      <w:pPr>
        <w:jc w:val="both"/>
      </w:pPr>
    </w:p>
    <w:p w14:paraId="3B81621A" w14:textId="568D836B" w:rsidR="007F4F76" w:rsidRDefault="00C0067D" w:rsidP="00AC49F4">
      <w:pPr>
        <w:jc w:val="both"/>
      </w:pPr>
      <w:r>
        <w:t xml:space="preserve">In this project, the Fuzzy Interactive Dichotomizer3 (FID3) will be employed. FID3 is an effective method to obtain knowledge in uncertain classification related problem. It is based on ID3 and the data representation on ID3 is crisp while for FID3, the data are fuzzy with continuous attributes [2]. A search for most impactful attributes on Bankruptcy will be carried out and sample sets will be partitioned into several intervals to form membership functions. For </w:t>
      </w:r>
      <w:r>
        <w:lastRenderedPageBreak/>
        <w:t xml:space="preserve">example, the attribute Financial Flexibility can be partitioned approximately between (-100, 100), as shown in </w:t>
      </w:r>
      <w:r w:rsidR="00AC49F4">
        <w:t>equation</w:t>
      </w:r>
      <w:r>
        <w:t xml:space="preserve"> 1.</w:t>
      </w:r>
    </w:p>
    <w:p w14:paraId="70315208" w14:textId="77777777" w:rsidR="00551AF0" w:rsidRDefault="00551AF0" w:rsidP="00AC49F4">
      <w:pPr>
        <w:jc w:val="both"/>
      </w:pPr>
    </w:p>
    <w:p w14:paraId="2F24F265" w14:textId="77777777" w:rsidR="00DB09CF" w:rsidRPr="003C7945" w:rsidRDefault="00FD5BF7" w:rsidP="00AC49F4">
      <w:pPr>
        <w:jc w:val="both"/>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p</m:t>
              </m:r>
            </m:sub>
          </m:sSub>
          <m:r>
            <w:rPr>
              <w:rFonts w:ascii="Cambria Math" w:hAnsi="Cambria Math"/>
            </w:rPr>
            <m:t>=1, x&lt;0</m:t>
          </m:r>
        </m:oMath>
      </m:oMathPara>
    </w:p>
    <w:p w14:paraId="3773DF57" w14:textId="77777777" w:rsidR="00DB09CF" w:rsidRPr="003C7945" w:rsidRDefault="00DB09CF" w:rsidP="00AC49F4">
      <w:pPr>
        <w:jc w:val="both"/>
        <w:rPr>
          <w:rFonts w:eastAsiaTheme="minorEastAsia"/>
        </w:rPr>
      </w:pPr>
    </w:p>
    <w:p w14:paraId="734BCD7E" w14:textId="77777777" w:rsidR="00DB09CF" w:rsidRPr="003C7945" w:rsidRDefault="00FD5BF7" w:rsidP="00AC49F4">
      <w:pPr>
        <w:jc w:val="both"/>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r>
            <w:rPr>
              <w:rFonts w:ascii="Cambria Math" w:hAnsi="Cambria Math"/>
            </w:rPr>
            <m:t xml:space="preserve">= </m:t>
          </m:r>
          <m:f>
            <m:fPr>
              <m:ctrlPr>
                <w:rPr>
                  <w:rFonts w:ascii="Cambria Math" w:hAnsi="Cambria Math"/>
                  <w:i/>
                </w:rPr>
              </m:ctrlPr>
            </m:fPr>
            <m:num>
              <m:r>
                <w:rPr>
                  <w:rFonts w:ascii="Cambria Math" w:hAnsi="Cambria Math"/>
                </w:rPr>
                <m:t>1-x</m:t>
              </m:r>
            </m:num>
            <m:den>
              <m:r>
                <w:rPr>
                  <w:rFonts w:ascii="Cambria Math" w:hAnsi="Cambria Math"/>
                </w:rPr>
                <m:t>100</m:t>
              </m:r>
            </m:den>
          </m:f>
          <m:r>
            <w:rPr>
              <w:rFonts w:ascii="Cambria Math" w:hAnsi="Cambria Math"/>
            </w:rPr>
            <m:t>, 0&lt;x&lt;100</m:t>
          </m:r>
        </m:oMath>
      </m:oMathPara>
    </w:p>
    <w:p w14:paraId="3E174027" w14:textId="77777777" w:rsidR="00DB09CF" w:rsidRPr="003C7945" w:rsidRDefault="00DB09CF" w:rsidP="00AC49F4">
      <w:pPr>
        <w:jc w:val="both"/>
        <w:rPr>
          <w:rFonts w:eastAsiaTheme="minorEastAsia"/>
        </w:rPr>
      </w:pPr>
    </w:p>
    <w:p w14:paraId="1D04E8DE" w14:textId="77777777" w:rsidR="00DB09CF" w:rsidRPr="003C7945" w:rsidRDefault="00FD5BF7" w:rsidP="00AC49F4">
      <w:pPr>
        <w:jc w:val="both"/>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 x&gt;0</m:t>
          </m:r>
        </m:oMath>
      </m:oMathPara>
    </w:p>
    <w:p w14:paraId="6066582D" w14:textId="77777777" w:rsidR="00551AF0" w:rsidRDefault="00551AF0" w:rsidP="00AC49F4">
      <w:pPr>
        <w:jc w:val="both"/>
      </w:pPr>
    </w:p>
    <w:p w14:paraId="515193C8" w14:textId="77777777" w:rsidR="00551AF0" w:rsidRDefault="00AC49F4" w:rsidP="00AC49F4">
      <w:pPr>
        <w:jc w:val="center"/>
      </w:pPr>
      <w:r>
        <w:t>Equation</w:t>
      </w:r>
      <w:r w:rsidR="00C0067D">
        <w:t xml:space="preserve"> 1. Financial Flexibility.</w:t>
      </w:r>
    </w:p>
    <w:p w14:paraId="419F4CE7" w14:textId="77777777" w:rsidR="00551AF0" w:rsidRDefault="00551AF0" w:rsidP="00AC49F4">
      <w:pPr>
        <w:jc w:val="both"/>
      </w:pPr>
    </w:p>
    <w:p w14:paraId="17560D51" w14:textId="36B22C9A" w:rsidR="00551AF0" w:rsidRDefault="00DB09CF" w:rsidP="00AC49F4">
      <w:pPr>
        <w:jc w:val="both"/>
      </w:pPr>
      <w:r>
        <w:t xml:space="preserve">Then, </w:t>
      </w:r>
      <w:r w:rsidR="009345D8">
        <w:t xml:space="preserve">the fuzzy </w:t>
      </w:r>
      <w:r>
        <w:t xml:space="preserve">entropy </w:t>
      </w:r>
      <w:r w:rsidR="009345D8">
        <w:t xml:space="preserve">and information gain can be calculated with the formula portrayed in </w:t>
      </w:r>
      <w:r w:rsidR="00AC49F4">
        <w:t>equation</w:t>
      </w:r>
      <w:r w:rsidR="009345D8">
        <w:t xml:space="preserve"> 2</w:t>
      </w:r>
      <w:r w:rsidR="00AC49F4">
        <w:t xml:space="preserve"> [3]</w:t>
      </w:r>
      <w:r w:rsidR="009345D8">
        <w:t>.</w:t>
      </w:r>
      <w:r w:rsidR="007F4F76">
        <w:t xml:space="preserve"> </w:t>
      </w:r>
      <m:oMath>
        <m:r>
          <w:rPr>
            <w:rFonts w:ascii="Cambria Math" w:hAnsi="Cambria Math"/>
          </w:rPr>
          <m:t>H(S)</m:t>
        </m:r>
      </m:oMath>
      <w:r w:rsidR="00AC49F4">
        <w:t xml:space="preserve"> represents t</w:t>
      </w:r>
      <w:r w:rsidR="007F4F76">
        <w:t xml:space="preserve">he entropy of the set </w:t>
      </w:r>
      <m:oMath>
        <m:r>
          <w:rPr>
            <w:rFonts w:ascii="Cambria Math" w:hAnsi="Cambria Math"/>
          </w:rPr>
          <m:t>S</m:t>
        </m:r>
      </m:oMath>
      <w:r w:rsidR="00AC49F4">
        <w:t xml:space="preserve"> of training examples in the node. Similarly, equation </w:t>
      </w:r>
      <m:oMath>
        <m:r>
          <m:rPr>
            <m:sty m:val="p"/>
          </m:rPr>
          <w:rPr>
            <w:rFonts w:ascii="Cambria Math" w:hAnsi="Cambria Math"/>
          </w:rPr>
          <m:t>G</m:t>
        </m:r>
        <m:d>
          <m:dPr>
            <m:ctrlPr>
              <w:rPr>
                <w:rFonts w:ascii="Cambria Math" w:hAnsi="Cambria Math"/>
              </w:rPr>
            </m:ctrlPr>
          </m:dPr>
          <m:e>
            <m:r>
              <m:rPr>
                <m:sty m:val="p"/>
              </m:rPr>
              <w:rPr>
                <w:rFonts w:ascii="Cambria Math" w:hAnsi="Cambria Math"/>
              </w:rPr>
              <m:t>S,A</m:t>
            </m:r>
          </m:e>
        </m:d>
      </m:oMath>
      <w:r w:rsidR="007F4F76">
        <w:t xml:space="preserve"> </w:t>
      </w:r>
      <w:r w:rsidR="00AC49F4">
        <w:t>represents the</w:t>
      </w:r>
      <w:r w:rsidR="007F4F76">
        <w:t xml:space="preserve"> information gain of attribute </w:t>
      </w:r>
      <m:oMath>
        <m:r>
          <w:rPr>
            <w:rFonts w:ascii="Cambria Math" w:hAnsi="Cambria Math"/>
          </w:rPr>
          <m:t>A</m:t>
        </m:r>
      </m:oMath>
      <w:r w:rsidR="00AC49F4">
        <w:t xml:space="preserve">. Modulo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AC49F4">
        <w:t xml:space="preserve"> is the size of the subset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7F4F76">
        <w:t xml:space="preserve">. Modulo </w:t>
      </w:r>
      <m:oMath>
        <m:r>
          <w:rPr>
            <w:rFonts w:ascii="Cambria Math" w:hAnsi="Cambria Math"/>
          </w:rPr>
          <m:t>S</m:t>
        </m:r>
      </m:oMath>
      <w:r w:rsidR="007F4F76">
        <w:t xml:space="preserve"> is the size of set </w:t>
      </w:r>
      <m:oMath>
        <m:r>
          <w:rPr>
            <w:rFonts w:ascii="Cambria Math" w:hAnsi="Cambria Math"/>
          </w:rPr>
          <m:t>S</m:t>
        </m:r>
      </m:oMath>
      <w:r w:rsidR="00AC49F4">
        <w:t xml:space="preserve">. </w:t>
      </w:r>
    </w:p>
    <w:p w14:paraId="5B499645" w14:textId="77777777" w:rsidR="00E11B5B" w:rsidRDefault="00E11B5B" w:rsidP="00AC49F4">
      <w:pPr>
        <w:jc w:val="both"/>
      </w:pPr>
    </w:p>
    <w:p w14:paraId="3116B799" w14:textId="77777777" w:rsidR="009345D8" w:rsidRPr="009345D8" w:rsidRDefault="009345D8" w:rsidP="00AC49F4">
      <w:pPr>
        <w:jc w:val="both"/>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8E3CF3" w14:textId="77777777" w:rsidR="009345D8" w:rsidRPr="00E11B5B" w:rsidRDefault="009345D8" w:rsidP="00AC49F4">
      <w:pPr>
        <w:jc w:val="both"/>
      </w:pPr>
      <m:oMathPara>
        <m:oMath>
          <m:r>
            <w:rPr>
              <w:rFonts w:ascii="Cambria Math" w:hAnsi="Cambria Math"/>
            </w:rPr>
            <m:t>G</m:t>
          </m:r>
          <m:d>
            <m:dPr>
              <m:ctrlPr>
                <w:rPr>
                  <w:rFonts w:ascii="Cambria Math" w:hAnsi="Cambria Math"/>
                  <w:i/>
                </w:rPr>
              </m:ctrlPr>
            </m:dPr>
            <m:e>
              <m:r>
                <w:rPr>
                  <w:rFonts w:ascii="Cambria Math" w:hAnsi="Cambria Math"/>
                </w:rPr>
                <m:t>S, A</m:t>
              </m:r>
            </m:e>
          </m:d>
          <m:r>
            <w:rPr>
              <w:rFonts w:ascii="Cambria Math" w:hAnsi="Cambria Math"/>
            </w:rPr>
            <m:t>= H</m:t>
          </m:r>
          <m:d>
            <m:dPr>
              <m:ctrlPr>
                <w:rPr>
                  <w:rFonts w:ascii="Cambria Math" w:hAnsi="Cambria Math"/>
                  <w:i/>
                </w:rPr>
              </m:ctrlPr>
            </m:dPr>
            <m:e>
              <m:r>
                <w:rPr>
                  <w:rFonts w:ascii="Cambria Math" w:hAnsi="Cambria Math"/>
                </w:rPr>
                <m:t>S</m:t>
              </m:r>
            </m:e>
          </m:d>
          <m:r>
            <w:rPr>
              <w:rFonts w:ascii="Cambria Math" w:hAnsi="Cambria Math"/>
            </w:rPr>
            <m:t>-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v</m:t>
                      </m:r>
                    </m:sub>
                  </m:sSub>
                </m:e>
              </m:d>
            </m:num>
            <m:den>
              <m:d>
                <m:dPr>
                  <m:begChr m:val="|"/>
                  <m:endChr m:val="|"/>
                  <m:ctrlPr>
                    <w:rPr>
                      <w:rFonts w:ascii="Cambria Math" w:hAnsi="Cambria Math"/>
                      <w:i/>
                    </w:rPr>
                  </m:ctrlPr>
                </m:dPr>
                <m:e>
                  <m:r>
                    <w:rPr>
                      <w:rFonts w:ascii="Cambria Math" w:hAnsi="Cambria Math"/>
                    </w:rPr>
                    <m:t>S</m:t>
                  </m:r>
                </m:e>
              </m:d>
            </m:den>
          </m:f>
          <m:r>
            <w:rPr>
              <w:rFonts w:ascii="Cambria Math" w:hAnsi="Cambria Math"/>
            </w:rPr>
            <m:t>H(</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m:oMathPara>
    </w:p>
    <w:p w14:paraId="1EC52459" w14:textId="77777777" w:rsidR="00E11B5B" w:rsidRDefault="00E11B5B" w:rsidP="00AC49F4">
      <w:pPr>
        <w:jc w:val="both"/>
      </w:pPr>
      <w:bookmarkStart w:id="0" w:name="_GoBack"/>
      <w:bookmarkEnd w:id="0"/>
    </w:p>
    <w:p w14:paraId="0C103DA8" w14:textId="77777777" w:rsidR="00551AF0" w:rsidRDefault="00AC49F4" w:rsidP="00AC49F4">
      <w:pPr>
        <w:jc w:val="center"/>
      </w:pPr>
      <w:r>
        <w:t>Equation 2. Entropy and Information Gain.</w:t>
      </w:r>
    </w:p>
    <w:p w14:paraId="661A08E8" w14:textId="77777777" w:rsidR="00F1382D" w:rsidRDefault="00F1382D" w:rsidP="00AC49F4">
      <w:pPr>
        <w:jc w:val="center"/>
      </w:pPr>
    </w:p>
    <w:p w14:paraId="0FD492F0" w14:textId="4060DC18" w:rsidR="00551AF0" w:rsidRDefault="00E92542" w:rsidP="00AC49F4">
      <w:pPr>
        <w:jc w:val="both"/>
      </w:pPr>
      <w:r>
        <w:t xml:space="preserve">Finally, </w:t>
      </w:r>
      <w:r w:rsidR="00F1382D">
        <w:t>with MATLAB fuzzy toolbox, a Fuzzy</w:t>
      </w:r>
      <w:r w:rsidR="00363515">
        <w:t xml:space="preserve"> Inference System will be built and prediction will be done through defuzzification. </w:t>
      </w:r>
    </w:p>
    <w:p w14:paraId="6915AED1" w14:textId="77777777" w:rsidR="00551AF0" w:rsidRDefault="00551AF0" w:rsidP="00AC49F4">
      <w:pPr>
        <w:jc w:val="both"/>
      </w:pPr>
    </w:p>
    <w:p w14:paraId="15BF0FBA" w14:textId="77777777" w:rsidR="00EB44B8" w:rsidRDefault="00EB44B8" w:rsidP="00AC49F4">
      <w:pPr>
        <w:jc w:val="both"/>
      </w:pPr>
    </w:p>
    <w:p w14:paraId="7FE07983" w14:textId="560B8E84" w:rsidR="00551AF0" w:rsidRDefault="00353B9B" w:rsidP="00AC49F4">
      <w:pPr>
        <w:jc w:val="both"/>
        <w:rPr>
          <w:b/>
        </w:rPr>
      </w:pPr>
      <w:r>
        <w:rPr>
          <w:b/>
        </w:rPr>
        <w:t>Reference</w:t>
      </w:r>
    </w:p>
    <w:p w14:paraId="61A2A4E0" w14:textId="77777777" w:rsidR="00551AF0" w:rsidRDefault="00C0067D" w:rsidP="00AC49F4">
      <w:pPr>
        <w:numPr>
          <w:ilvl w:val="0"/>
          <w:numId w:val="1"/>
        </w:numPr>
        <w:contextualSpacing/>
        <w:jc w:val="both"/>
      </w:pPr>
      <w:r>
        <w:t>Risk Assessment for Banking Systems.</w:t>
      </w:r>
      <w:r w:rsidR="00E11B5B">
        <w:t xml:space="preserve"> Retrieved from </w:t>
      </w:r>
      <w:hyperlink r:id="rId6">
        <w:r>
          <w:rPr>
            <w:color w:val="1155CC"/>
            <w:u w:val="single"/>
          </w:rPr>
          <w:t>https://www.fdic.gov/news/conferences/finance_banking/elsinger.pdf</w:t>
        </w:r>
      </w:hyperlink>
    </w:p>
    <w:p w14:paraId="379C232E" w14:textId="77777777" w:rsidR="00551AF0" w:rsidRDefault="00551AF0" w:rsidP="00AC49F4">
      <w:pPr>
        <w:jc w:val="both"/>
        <w:rPr>
          <w:b/>
        </w:rPr>
      </w:pPr>
    </w:p>
    <w:p w14:paraId="7BFE7493" w14:textId="21C2337E" w:rsidR="00551AF0" w:rsidRDefault="00C0067D" w:rsidP="00C904C2">
      <w:pPr>
        <w:pStyle w:val="ListParagraph"/>
        <w:numPr>
          <w:ilvl w:val="0"/>
          <w:numId w:val="1"/>
        </w:numPr>
        <w:jc w:val="both"/>
      </w:pPr>
      <w:r>
        <w:t xml:space="preserve">Decision Tree Classification Implementation with Fuzzy Logic. </w:t>
      </w:r>
      <w:r w:rsidR="00E11B5B">
        <w:t xml:space="preserve">Retrieved from </w:t>
      </w:r>
      <w:hyperlink r:id="rId7">
        <w:r w:rsidRPr="00C904C2">
          <w:rPr>
            <w:color w:val="1155CC"/>
            <w:u w:val="single"/>
          </w:rPr>
          <w:t>http://paper.ijcsns.org/07_book/201210/20121014.pdf</w:t>
        </w:r>
      </w:hyperlink>
    </w:p>
    <w:p w14:paraId="6BCB1593" w14:textId="77777777" w:rsidR="00551AF0" w:rsidRDefault="00551AF0" w:rsidP="00AC49F4">
      <w:pPr>
        <w:jc w:val="both"/>
      </w:pPr>
    </w:p>
    <w:p w14:paraId="3179D81C" w14:textId="6C90DF9D" w:rsidR="00C904C2" w:rsidRDefault="00AC49F4" w:rsidP="00C904C2">
      <w:pPr>
        <w:pStyle w:val="ListParagraph"/>
        <w:numPr>
          <w:ilvl w:val="0"/>
          <w:numId w:val="1"/>
        </w:numPr>
        <w:jc w:val="both"/>
      </w:pPr>
      <w:r w:rsidRPr="00AC49F4">
        <w:t>“Applying Fuzzy ID3 Decision Tree for Software Effort E</w:t>
      </w:r>
      <w:r w:rsidR="00C904C2">
        <w:t xml:space="preserve">stimation “, Ali </w:t>
      </w:r>
      <w:proofErr w:type="spellStart"/>
      <w:r w:rsidR="00C904C2">
        <w:t>Idri</w:t>
      </w:r>
      <w:proofErr w:type="spellEnd"/>
      <w:r w:rsidR="00C904C2">
        <w:t xml:space="preserve"> and Sanaa </w:t>
      </w:r>
      <w:proofErr w:type="spellStart"/>
      <w:r w:rsidRPr="00AC49F4">
        <w:t>Elyassami</w:t>
      </w:r>
      <w:proofErr w:type="spellEnd"/>
      <w:r w:rsidRPr="00AC49F4">
        <w:t>, International Journal of Computer Science Issues, Vol. 8, Issue 4, No 1, July 2011.</w:t>
      </w:r>
      <w:r w:rsidR="00C0067D">
        <w:tab/>
      </w:r>
    </w:p>
    <w:p w14:paraId="3B9DEFE2" w14:textId="77777777" w:rsidR="00C904C2" w:rsidRDefault="00C904C2" w:rsidP="00C904C2">
      <w:pPr>
        <w:jc w:val="both"/>
      </w:pPr>
    </w:p>
    <w:p w14:paraId="69079113" w14:textId="2A64800B" w:rsidR="00551AF0" w:rsidRDefault="00C0067D" w:rsidP="00C904C2">
      <w:pPr>
        <w:pStyle w:val="ListParagraph"/>
        <w:ind w:left="360"/>
        <w:jc w:val="both"/>
      </w:pPr>
      <w:r>
        <w:tab/>
      </w:r>
      <w:r>
        <w:tab/>
      </w:r>
      <w:r>
        <w:tab/>
      </w:r>
    </w:p>
    <w:p w14:paraId="62557CA9" w14:textId="77777777" w:rsidR="00551AF0" w:rsidRDefault="00C0067D" w:rsidP="00AC49F4">
      <w:pPr>
        <w:jc w:val="both"/>
      </w:pPr>
      <w:r>
        <w:tab/>
      </w:r>
      <w:r>
        <w:tab/>
      </w:r>
      <w:r>
        <w:tab/>
      </w:r>
    </w:p>
    <w:p w14:paraId="049C5BC8" w14:textId="77777777" w:rsidR="00551AF0" w:rsidRDefault="00C0067D" w:rsidP="00AC49F4">
      <w:pPr>
        <w:jc w:val="both"/>
      </w:pPr>
      <w:r>
        <w:tab/>
      </w:r>
      <w:r>
        <w:tab/>
      </w:r>
    </w:p>
    <w:p w14:paraId="7D79A8D9" w14:textId="77777777" w:rsidR="00551AF0" w:rsidRDefault="00551AF0" w:rsidP="00AC49F4">
      <w:pPr>
        <w:jc w:val="both"/>
      </w:pPr>
    </w:p>
    <w:sectPr w:rsidR="00551AF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7E0"/>
    <w:multiLevelType w:val="multilevel"/>
    <w:tmpl w:val="A1281A7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nsid w:val="44B81029"/>
    <w:multiLevelType w:val="multilevel"/>
    <w:tmpl w:val="477A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useFELayout/>
    <w:compatSetting w:name="compatibilityMode" w:uri="http://schemas.microsoft.com/office/word" w:val="14"/>
  </w:compat>
  <w:rsids>
    <w:rsidRoot w:val="00551AF0"/>
    <w:rsid w:val="0001547F"/>
    <w:rsid w:val="00353B9B"/>
    <w:rsid w:val="00363515"/>
    <w:rsid w:val="0043372E"/>
    <w:rsid w:val="00551AF0"/>
    <w:rsid w:val="005B334E"/>
    <w:rsid w:val="005F18B0"/>
    <w:rsid w:val="007F4F76"/>
    <w:rsid w:val="009345D8"/>
    <w:rsid w:val="00AC49F4"/>
    <w:rsid w:val="00B32CD9"/>
    <w:rsid w:val="00C0067D"/>
    <w:rsid w:val="00C30468"/>
    <w:rsid w:val="00C904C2"/>
    <w:rsid w:val="00D02919"/>
    <w:rsid w:val="00DB09CF"/>
    <w:rsid w:val="00E11B5B"/>
    <w:rsid w:val="00E92542"/>
    <w:rsid w:val="00EB44B8"/>
    <w:rsid w:val="00F1382D"/>
    <w:rsid w:val="00FD5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7268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B09C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09CF"/>
    <w:rPr>
      <w:rFonts w:ascii="Times New Roman" w:hAnsi="Times New Roman" w:cs="Times New Roman"/>
      <w:sz w:val="18"/>
      <w:szCs w:val="18"/>
    </w:rPr>
  </w:style>
  <w:style w:type="character" w:styleId="PlaceholderText">
    <w:name w:val="Placeholder Text"/>
    <w:basedOn w:val="DefaultParagraphFont"/>
    <w:uiPriority w:val="99"/>
    <w:semiHidden/>
    <w:rsid w:val="009345D8"/>
    <w:rPr>
      <w:color w:val="808080"/>
    </w:rPr>
  </w:style>
  <w:style w:type="paragraph" w:styleId="ListParagraph">
    <w:name w:val="List Paragraph"/>
    <w:basedOn w:val="Normal"/>
    <w:uiPriority w:val="34"/>
    <w:qFormat/>
    <w:rsid w:val="00AC49F4"/>
    <w:pPr>
      <w:ind w:left="720"/>
      <w:contextualSpacing/>
    </w:pPr>
  </w:style>
  <w:style w:type="table" w:styleId="TableGrid">
    <w:name w:val="Table Grid"/>
    <w:basedOn w:val="TableNormal"/>
    <w:uiPriority w:val="39"/>
    <w:rsid w:val="00D029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332881">
      <w:bodyDiv w:val="1"/>
      <w:marLeft w:val="0"/>
      <w:marRight w:val="0"/>
      <w:marTop w:val="0"/>
      <w:marBottom w:val="0"/>
      <w:divBdr>
        <w:top w:val="none" w:sz="0" w:space="0" w:color="auto"/>
        <w:left w:val="none" w:sz="0" w:space="0" w:color="auto"/>
        <w:bottom w:val="none" w:sz="0" w:space="0" w:color="auto"/>
        <w:right w:val="none" w:sz="0" w:space="0" w:color="auto"/>
      </w:divBdr>
      <w:divsChild>
        <w:div w:id="205919343">
          <w:marLeft w:val="0"/>
          <w:marRight w:val="0"/>
          <w:marTop w:val="0"/>
          <w:marBottom w:val="0"/>
          <w:divBdr>
            <w:top w:val="none" w:sz="0" w:space="0" w:color="auto"/>
            <w:left w:val="none" w:sz="0" w:space="0" w:color="auto"/>
            <w:bottom w:val="none" w:sz="0" w:space="0" w:color="auto"/>
            <w:right w:val="none" w:sz="0" w:space="0" w:color="auto"/>
          </w:divBdr>
          <w:divsChild>
            <w:div w:id="1340812520">
              <w:marLeft w:val="0"/>
              <w:marRight w:val="0"/>
              <w:marTop w:val="0"/>
              <w:marBottom w:val="0"/>
              <w:divBdr>
                <w:top w:val="none" w:sz="0" w:space="0" w:color="auto"/>
                <w:left w:val="none" w:sz="0" w:space="0" w:color="auto"/>
                <w:bottom w:val="none" w:sz="0" w:space="0" w:color="auto"/>
                <w:right w:val="none" w:sz="0" w:space="0" w:color="auto"/>
              </w:divBdr>
              <w:divsChild>
                <w:div w:id="1991252609">
                  <w:marLeft w:val="0"/>
                  <w:marRight w:val="0"/>
                  <w:marTop w:val="0"/>
                  <w:marBottom w:val="0"/>
                  <w:divBdr>
                    <w:top w:val="none" w:sz="0" w:space="0" w:color="auto"/>
                    <w:left w:val="none" w:sz="0" w:space="0" w:color="auto"/>
                    <w:bottom w:val="none" w:sz="0" w:space="0" w:color="auto"/>
                    <w:right w:val="none" w:sz="0" w:space="0" w:color="auto"/>
                  </w:divBdr>
                </w:div>
              </w:divsChild>
            </w:div>
            <w:div w:id="1982884797">
              <w:marLeft w:val="0"/>
              <w:marRight w:val="0"/>
              <w:marTop w:val="0"/>
              <w:marBottom w:val="0"/>
              <w:divBdr>
                <w:top w:val="none" w:sz="0" w:space="0" w:color="auto"/>
                <w:left w:val="none" w:sz="0" w:space="0" w:color="auto"/>
                <w:bottom w:val="none" w:sz="0" w:space="0" w:color="auto"/>
                <w:right w:val="none" w:sz="0" w:space="0" w:color="auto"/>
              </w:divBdr>
              <w:divsChild>
                <w:div w:id="1530220633">
                  <w:marLeft w:val="0"/>
                  <w:marRight w:val="0"/>
                  <w:marTop w:val="0"/>
                  <w:marBottom w:val="0"/>
                  <w:divBdr>
                    <w:top w:val="none" w:sz="0" w:space="0" w:color="auto"/>
                    <w:left w:val="none" w:sz="0" w:space="0" w:color="auto"/>
                    <w:bottom w:val="none" w:sz="0" w:space="0" w:color="auto"/>
                    <w:right w:val="none" w:sz="0" w:space="0" w:color="auto"/>
                  </w:divBdr>
                </w:div>
              </w:divsChild>
            </w:div>
            <w:div w:id="427653716">
              <w:marLeft w:val="0"/>
              <w:marRight w:val="0"/>
              <w:marTop w:val="0"/>
              <w:marBottom w:val="0"/>
              <w:divBdr>
                <w:top w:val="none" w:sz="0" w:space="0" w:color="auto"/>
                <w:left w:val="none" w:sz="0" w:space="0" w:color="auto"/>
                <w:bottom w:val="none" w:sz="0" w:space="0" w:color="auto"/>
                <w:right w:val="none" w:sz="0" w:space="0" w:color="auto"/>
              </w:divBdr>
              <w:divsChild>
                <w:div w:id="15313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fdic.gov/news/conferences/finance_banking/elsinger.pdf" TargetMode="External"/><Relationship Id="rId7" Type="http://schemas.openxmlformats.org/officeDocument/2006/relationships/hyperlink" Target="http://paper.ijcsns.org/07_book/201210/20121014.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62BA554-8B82-B247-A766-F51CB4CB0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630</Words>
  <Characters>3595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Low Qi Wei - UTeM18</cp:lastModifiedBy>
  <cp:revision>8</cp:revision>
  <dcterms:created xsi:type="dcterms:W3CDTF">2017-11-26T07:49:00Z</dcterms:created>
  <dcterms:modified xsi:type="dcterms:W3CDTF">2017-11-26T15:21:00Z</dcterms:modified>
</cp:coreProperties>
</file>