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59236" w14:textId="77777777" w:rsidR="007F24F3" w:rsidRDefault="00000000">
      <w:pPr>
        <w:jc w:val="center"/>
      </w:pPr>
      <w:r>
        <w:rPr>
          <w:b/>
          <w:color w:val="003366"/>
          <w:sz w:val="52"/>
        </w:rPr>
        <w:t>IBRAHIM INDEX OF AFRICAN GOVERNANCE</w:t>
      </w:r>
      <w:r>
        <w:rPr>
          <w:b/>
          <w:color w:val="003366"/>
          <w:sz w:val="52"/>
        </w:rPr>
        <w:br/>
      </w:r>
      <w:r>
        <w:rPr>
          <w:b/>
          <w:color w:val="003366"/>
          <w:sz w:val="52"/>
        </w:rPr>
        <w:br/>
      </w:r>
    </w:p>
    <w:p w14:paraId="21F6E37B" w14:textId="77777777" w:rsidR="007F24F3" w:rsidRDefault="00000000">
      <w:pPr>
        <w:jc w:val="center"/>
      </w:pPr>
      <w:r>
        <w:rPr>
          <w:b/>
          <w:sz w:val="44"/>
        </w:rPr>
        <w:t>COMPREHENSIVE ANALYTICAL REPORT</w:t>
      </w:r>
    </w:p>
    <w:p w14:paraId="1781B291" w14:textId="77777777" w:rsidR="007F24F3" w:rsidRDefault="00000000">
      <w:r>
        <w:br/>
      </w:r>
      <w:r>
        <w:br/>
      </w:r>
    </w:p>
    <w:p w14:paraId="65AC16BA" w14:textId="77777777" w:rsidR="007F24F3" w:rsidRDefault="00000000">
      <w:pPr>
        <w:jc w:val="center"/>
      </w:pPr>
      <w:r>
        <w:rPr>
          <w:i/>
          <w:sz w:val="28"/>
        </w:rPr>
        <w:t>Analysis Period: 2014-2023</w:t>
      </w:r>
    </w:p>
    <w:p w14:paraId="15F0C44D" w14:textId="09352F60" w:rsidR="007F24F3" w:rsidRDefault="00000000">
      <w:r>
        <w:br/>
      </w:r>
    </w:p>
    <w:p w14:paraId="666D4912" w14:textId="106F485E" w:rsidR="006646D9" w:rsidRDefault="00000000">
      <w:pPr>
        <w:jc w:val="center"/>
        <w:rPr>
          <w:b/>
          <w:sz w:val="28"/>
        </w:rPr>
      </w:pPr>
      <w:r>
        <w:rPr>
          <w:b/>
          <w:sz w:val="28"/>
        </w:rPr>
        <w:t>Dataset Overview</w:t>
      </w:r>
      <w:r>
        <w:rPr>
          <w:b/>
          <w:sz w:val="28"/>
        </w:rPr>
        <w:br/>
      </w:r>
    </w:p>
    <w:p w14:paraId="50A77292" w14:textId="18380ABA" w:rsidR="007F24F3" w:rsidRDefault="006646D9" w:rsidP="006646D9">
      <w:r>
        <w:rPr>
          <w:noProof/>
        </w:rPr>
        <mc:AlternateContent>
          <mc:Choice Requires="wps">
            <w:drawing>
              <wp:anchor distT="45720" distB="45720" distL="114300" distR="114300" simplePos="0" relativeHeight="251657728" behindDoc="0" locked="0" layoutInCell="1" allowOverlap="1" wp14:anchorId="6131CC68" wp14:editId="1EDB78B3">
                <wp:simplePos x="0" y="0"/>
                <wp:positionH relativeFrom="column">
                  <wp:posOffset>897527</wp:posOffset>
                </wp:positionH>
                <wp:positionV relativeFrom="paragraph">
                  <wp:posOffset>247015</wp:posOffset>
                </wp:positionV>
                <wp:extent cx="4011295" cy="1104900"/>
                <wp:effectExtent l="0" t="0" r="8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1295" cy="1104900"/>
                        </a:xfrm>
                        <a:prstGeom prst="rect">
                          <a:avLst/>
                        </a:prstGeom>
                        <a:solidFill>
                          <a:schemeClr val="tx2">
                            <a:lumMod val="40000"/>
                            <a:lumOff val="60000"/>
                          </a:schemeClr>
                        </a:solidFill>
                        <a:ln w="9525">
                          <a:noFill/>
                          <a:miter lim="800000"/>
                          <a:headEnd/>
                          <a:tailEnd/>
                        </a:ln>
                      </wps:spPr>
                      <wps:txbx>
                        <w:txbxContent>
                          <w:p w14:paraId="16E474E8" w14:textId="48ECA97C" w:rsidR="006646D9" w:rsidRDefault="006646D9" w:rsidP="006646D9">
                            <w:pPr>
                              <w:jc w:val="center"/>
                            </w:pPr>
                            <w:r>
                              <w:rPr>
                                <w:sz w:val="24"/>
                              </w:rPr>
                              <w:t xml:space="preserve">Countries Analyzed: </w:t>
                            </w:r>
                            <w:r w:rsidRPr="006646D9">
                              <w:rPr>
                                <w:b/>
                                <w:bCs/>
                                <w:sz w:val="24"/>
                              </w:rPr>
                              <w:t>54</w:t>
                            </w:r>
                            <w:r>
                              <w:rPr>
                                <w:sz w:val="24"/>
                              </w:rPr>
                              <w:br/>
                              <w:t xml:space="preserve">Years Covered: </w:t>
                            </w:r>
                            <w:r w:rsidRPr="006646D9">
                              <w:rPr>
                                <w:b/>
                                <w:bCs/>
                                <w:sz w:val="24"/>
                              </w:rPr>
                              <w:t>2014 - 2023</w:t>
                            </w:r>
                            <w:r>
                              <w:rPr>
                                <w:sz w:val="24"/>
                              </w:rPr>
                              <w:br/>
                              <w:t xml:space="preserve">Total Observations: </w:t>
                            </w:r>
                            <w:r w:rsidRPr="006646D9">
                              <w:rPr>
                                <w:b/>
                                <w:bCs/>
                                <w:sz w:val="24"/>
                              </w:rPr>
                              <w:t>540</w:t>
                            </w:r>
                            <w:r>
                              <w:rPr>
                                <w:sz w:val="24"/>
                              </w:rPr>
                              <w:br/>
                              <w:t xml:space="preserve">Governance Categories: </w:t>
                            </w:r>
                            <w:r w:rsidRPr="006646D9">
                              <w:rPr>
                                <w:b/>
                                <w:bCs/>
                                <w:sz w:val="24"/>
                              </w:rPr>
                              <w:t>4</w:t>
                            </w:r>
                            <w:r>
                              <w:rPr>
                                <w:sz w:val="24"/>
                              </w:rPr>
                              <w:t xml:space="preserve"> Main Categories, </w:t>
                            </w:r>
                            <w:r w:rsidRPr="006646D9">
                              <w:rPr>
                                <w:b/>
                                <w:bCs/>
                                <w:sz w:val="24"/>
                              </w:rPr>
                              <w:t>16</w:t>
                            </w:r>
                            <w:r>
                              <w:rPr>
                                <w:sz w:val="24"/>
                              </w:rPr>
                              <w:t xml:space="preserve"> Subcategories</w:t>
                            </w:r>
                          </w:p>
                          <w:p w14:paraId="40210A86" w14:textId="69D91AF9" w:rsidR="006646D9" w:rsidRDefault="006646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31CC68" id="_x0000_t202" coordsize="21600,21600" o:spt="202" path="m,l,21600r21600,l21600,xe">
                <v:stroke joinstyle="miter"/>
                <v:path gradientshapeok="t" o:connecttype="rect"/>
              </v:shapetype>
              <v:shape id="Text Box 2" o:spid="_x0000_s1026" type="#_x0000_t202" style="position:absolute;margin-left:70.65pt;margin-top:19.45pt;width:315.85pt;height:87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" fillcolor="#8db3e2 [1311]" stroked="f">
                <v:textbox>
                  <w:txbxContent>
                    <w:p w14:paraId="16E474E8" w14:textId="48ECA97C" w:rsidR="006646D9" w:rsidRDefault="006646D9" w:rsidP="006646D9">
                      <w:pPr>
                        <w:jc w:val="center"/>
                      </w:pPr>
                      <w:r>
                        <w:rPr>
                          <w:sz w:val="24"/>
                        </w:rPr>
                        <w:t xml:space="preserve">Countries Analyzed: </w:t>
                      </w:r>
                      <w:r w:rsidRPr="006646D9">
                        <w:rPr>
                          <w:b/>
                          <w:bCs/>
                          <w:sz w:val="24"/>
                        </w:rPr>
                        <w:t>54</w:t>
                      </w:r>
                      <w:r>
                        <w:rPr>
                          <w:sz w:val="24"/>
                        </w:rPr>
                        <w:br/>
                        <w:t xml:space="preserve">Years Covered: </w:t>
                      </w:r>
                      <w:r w:rsidRPr="006646D9">
                        <w:rPr>
                          <w:b/>
                          <w:bCs/>
                          <w:sz w:val="24"/>
                        </w:rPr>
                        <w:t>2014 - 2023</w:t>
                      </w:r>
                      <w:r>
                        <w:rPr>
                          <w:sz w:val="24"/>
                        </w:rPr>
                        <w:br/>
                        <w:t xml:space="preserve">Total Observations: </w:t>
                      </w:r>
                      <w:r w:rsidRPr="006646D9">
                        <w:rPr>
                          <w:b/>
                          <w:bCs/>
                          <w:sz w:val="24"/>
                        </w:rPr>
                        <w:t>540</w:t>
                      </w:r>
                      <w:r>
                        <w:rPr>
                          <w:sz w:val="24"/>
                        </w:rPr>
                        <w:br/>
                        <w:t xml:space="preserve">Governance Categories: </w:t>
                      </w:r>
                      <w:r w:rsidRPr="006646D9">
                        <w:rPr>
                          <w:b/>
                          <w:bCs/>
                          <w:sz w:val="24"/>
                        </w:rPr>
                        <w:t>4</w:t>
                      </w:r>
                      <w:r>
                        <w:rPr>
                          <w:sz w:val="24"/>
                        </w:rPr>
                        <w:t xml:space="preserve"> Main Categories, </w:t>
                      </w:r>
                      <w:r w:rsidRPr="006646D9">
                        <w:rPr>
                          <w:b/>
                          <w:bCs/>
                          <w:sz w:val="24"/>
                        </w:rPr>
                        <w:t>16</w:t>
                      </w:r>
                      <w:r>
                        <w:rPr>
                          <w:sz w:val="24"/>
                        </w:rPr>
                        <w:t xml:space="preserve"> Subcategories</w:t>
                      </w:r>
                    </w:p>
                    <w:p w14:paraId="40210A86" w14:textId="69D91AF9" w:rsidR="006646D9" w:rsidRDefault="006646D9"/>
                  </w:txbxContent>
                </v:textbox>
                <w10:wrap type="square"/>
              </v:shape>
            </w:pict>
          </mc:Fallback>
        </mc:AlternateContent>
      </w:r>
      <w:r>
        <w:rPr>
          <w:b/>
          <w:sz w:val="28"/>
        </w:rPr>
        <w:br/>
      </w:r>
    </w:p>
    <w:p w14:paraId="21FBBB87" w14:textId="42031E4E" w:rsidR="007F24F3" w:rsidRDefault="00000000">
      <w:r>
        <w:br/>
      </w:r>
      <w:r>
        <w:br/>
      </w:r>
      <w:r>
        <w:br/>
      </w:r>
      <w:r>
        <w:br/>
      </w:r>
    </w:p>
    <w:p w14:paraId="1503C151" w14:textId="77777777" w:rsidR="006646D9" w:rsidRDefault="006646D9" w:rsidP="007C54EB">
      <w:pPr>
        <w:spacing w:line="240" w:lineRule="auto"/>
        <w:jc w:val="center"/>
        <w:rPr>
          <w:i/>
          <w:color w:val="808080"/>
          <w:sz w:val="20"/>
        </w:rPr>
      </w:pPr>
    </w:p>
    <w:p w14:paraId="37760260" w14:textId="77777777" w:rsidR="006646D9" w:rsidRDefault="006646D9" w:rsidP="007C54EB">
      <w:pPr>
        <w:spacing w:line="240" w:lineRule="auto"/>
        <w:jc w:val="center"/>
        <w:rPr>
          <w:i/>
          <w:color w:val="808080"/>
          <w:sz w:val="20"/>
        </w:rPr>
      </w:pPr>
    </w:p>
    <w:p w14:paraId="47C222F6" w14:textId="77777777" w:rsidR="006646D9" w:rsidRDefault="006646D9" w:rsidP="007C54EB">
      <w:pPr>
        <w:spacing w:line="240" w:lineRule="auto"/>
        <w:jc w:val="center"/>
        <w:rPr>
          <w:i/>
          <w:color w:val="808080"/>
          <w:sz w:val="20"/>
        </w:rPr>
      </w:pPr>
    </w:p>
    <w:p w14:paraId="7CF733D5" w14:textId="7A01F08B" w:rsidR="00723C99" w:rsidRDefault="007C54EB" w:rsidP="007C54EB">
      <w:pPr>
        <w:spacing w:line="240" w:lineRule="auto"/>
        <w:jc w:val="center"/>
        <w:rPr>
          <w:i/>
          <w:color w:val="808080"/>
          <w:sz w:val="20"/>
        </w:rPr>
      </w:pPr>
      <w:r>
        <w:rPr>
          <w:i/>
          <w:color w:val="808080"/>
          <w:sz w:val="20"/>
        </w:rPr>
        <w:t xml:space="preserve">Author: </w:t>
      </w:r>
      <w:r w:rsidR="00723C99">
        <w:rPr>
          <w:i/>
          <w:color w:val="808080"/>
          <w:sz w:val="20"/>
        </w:rPr>
        <w:t>Cyprian Fusi</w:t>
      </w:r>
      <w:r>
        <w:rPr>
          <w:i/>
          <w:color w:val="808080"/>
          <w:sz w:val="20"/>
        </w:rPr>
        <w:t xml:space="preserve">                                                                                                                                                  </w:t>
      </w:r>
      <w:r w:rsidR="00723C99">
        <w:rPr>
          <w:i/>
          <w:color w:val="808080"/>
          <w:sz w:val="20"/>
        </w:rPr>
        <w:t>Binati AInalytics (https://binati-ai.com)</w:t>
      </w:r>
    </w:p>
    <w:p w14:paraId="5155FDE3" w14:textId="2D66B163" w:rsidR="007F24F3" w:rsidRDefault="007C54EB">
      <w:pPr>
        <w:jc w:val="center"/>
      </w:pPr>
      <w:r>
        <w:rPr>
          <w:i/>
          <w:color w:val="808080"/>
          <w:sz w:val="20"/>
        </w:rPr>
        <w:t>Date: October 11, 2025</w:t>
      </w:r>
      <w:r>
        <w:rPr>
          <w:i/>
          <w:color w:val="808080"/>
          <w:sz w:val="20"/>
        </w:rPr>
        <w:br/>
        <w:t>For: Mo Ibrahim Foundation</w:t>
      </w:r>
    </w:p>
    <w:p w14:paraId="6AF9D11E" w14:textId="77777777" w:rsidR="007F24F3" w:rsidRDefault="00000000">
      <w:r>
        <w:br w:type="page"/>
      </w:r>
    </w:p>
    <w:p w14:paraId="0CD85C12" w14:textId="77777777" w:rsidR="007F24F3" w:rsidRDefault="00000000">
      <w:pPr>
        <w:pStyle w:val="Title"/>
      </w:pPr>
      <w:r>
        <w:lastRenderedPageBreak/>
        <w:t>EXECUTIVE SUMMARY</w:t>
      </w:r>
    </w:p>
    <w:p w14:paraId="6350CEDE" w14:textId="77777777" w:rsidR="007F24F3" w:rsidRDefault="00000000" w:rsidP="00EE5A04">
      <w:pPr>
        <w:jc w:val="both"/>
      </w:pPr>
      <w:r>
        <w:t xml:space="preserve">This report presents a comprehensive analysis of governance performance across African nations from </w:t>
      </w:r>
      <w:r w:rsidRPr="00EE5A04">
        <w:rPr>
          <w:b/>
          <w:bCs/>
        </w:rPr>
        <w:t>2014</w:t>
      </w:r>
      <w:r>
        <w:t xml:space="preserve"> to </w:t>
      </w:r>
      <w:r w:rsidRPr="00EE5A04">
        <w:rPr>
          <w:b/>
          <w:bCs/>
        </w:rPr>
        <w:t>2023</w:t>
      </w:r>
      <w:r>
        <w:t xml:space="preserve">, based on the </w:t>
      </w:r>
      <w:r w:rsidRPr="00EE5A04">
        <w:rPr>
          <w:b/>
          <w:bCs/>
        </w:rPr>
        <w:t>Ibrahim Index of African Governance</w:t>
      </w:r>
      <w:r>
        <w:t xml:space="preserve"> (IIAG).</w:t>
      </w:r>
    </w:p>
    <w:p w14:paraId="2E1CFA8F" w14:textId="77777777" w:rsidR="007F24F3" w:rsidRDefault="00000000">
      <w:pPr>
        <w:pStyle w:val="Heading1"/>
      </w:pPr>
      <w:r>
        <w:t>KEY FINDINGS</w:t>
      </w:r>
    </w:p>
    <w:p w14:paraId="69508176" w14:textId="1B4FE35A" w:rsidR="00050101" w:rsidRDefault="00000000" w:rsidP="00050101">
      <w:pPr>
        <w:pStyle w:val="Heading2"/>
      </w:pPr>
      <w:r>
        <w:t>1. Overall Governance Landscape (2023)</w:t>
      </w:r>
    </w:p>
    <w:p w14:paraId="377A9C76" w14:textId="77777777" w:rsidR="00050101" w:rsidRDefault="00000000" w:rsidP="00050101">
      <w:pPr>
        <w:pStyle w:val="ListParagraph"/>
        <w:numPr>
          <w:ilvl w:val="0"/>
          <w:numId w:val="21"/>
        </w:numPr>
      </w:pPr>
      <w:r>
        <w:t>Continental Mean Score: 49.3/100</w:t>
      </w:r>
    </w:p>
    <w:p w14:paraId="74011144" w14:textId="77777777" w:rsidR="00050101" w:rsidRDefault="00000000" w:rsidP="00050101">
      <w:pPr>
        <w:pStyle w:val="ListParagraph"/>
        <w:numPr>
          <w:ilvl w:val="0"/>
          <w:numId w:val="21"/>
        </w:numPr>
      </w:pPr>
      <w:r>
        <w:t>Median Score: 49.0/100</w:t>
      </w:r>
    </w:p>
    <w:p w14:paraId="423A9D91" w14:textId="77777777" w:rsidR="00050101" w:rsidRDefault="00000000" w:rsidP="00050101">
      <w:pPr>
        <w:pStyle w:val="ListParagraph"/>
        <w:numPr>
          <w:ilvl w:val="0"/>
          <w:numId w:val="21"/>
        </w:numPr>
      </w:pPr>
      <w:r>
        <w:t>Score Range: 19.0 to 75.3</w:t>
      </w:r>
    </w:p>
    <w:p w14:paraId="299B4D2A" w14:textId="210C9D4A" w:rsidR="007F24F3" w:rsidRDefault="00000000" w:rsidP="00050101">
      <w:pPr>
        <w:pStyle w:val="ListParagraph"/>
        <w:numPr>
          <w:ilvl w:val="0"/>
          <w:numId w:val="21"/>
        </w:numPr>
      </w:pPr>
      <w:r>
        <w:t>Standard Deviation: 12.3</w:t>
      </w:r>
    </w:p>
    <w:p w14:paraId="45EC0A77" w14:textId="77777777" w:rsidR="007F24F3" w:rsidRDefault="00000000">
      <w:pPr>
        <w:pStyle w:val="Heading2"/>
      </w:pPr>
      <w:r>
        <w:t>2. Top Performers (2023)</w:t>
      </w:r>
    </w:p>
    <w:p w14:paraId="0B5A58A4" w14:textId="5D7EE946" w:rsidR="007F24F3" w:rsidRDefault="00000000">
      <w:r>
        <w:t>The</w:t>
      </w:r>
      <w:r w:rsidR="00EE5A04">
        <w:t>se</w:t>
      </w:r>
      <w:r>
        <w:t xml:space="preserve"> top five countries demonstrate exceptional governance:</w:t>
      </w:r>
    </w:p>
    <w:p w14:paraId="24074427" w14:textId="77777777" w:rsidR="007F24F3" w:rsidRDefault="00000000" w:rsidP="00050101">
      <w:pPr>
        <w:pStyle w:val="ListBullet"/>
        <w:numPr>
          <w:ilvl w:val="0"/>
          <w:numId w:val="22"/>
        </w:numPr>
      </w:pPr>
      <w:r>
        <w:t>Seychelles: 75.3</w:t>
      </w:r>
    </w:p>
    <w:p w14:paraId="45CE44F7" w14:textId="77777777" w:rsidR="007F24F3" w:rsidRDefault="00000000" w:rsidP="00050101">
      <w:pPr>
        <w:pStyle w:val="ListBullet"/>
        <w:numPr>
          <w:ilvl w:val="0"/>
          <w:numId w:val="22"/>
        </w:numPr>
      </w:pPr>
      <w:r>
        <w:t>Mauritius: 72.8</w:t>
      </w:r>
    </w:p>
    <w:p w14:paraId="1538856F" w14:textId="77777777" w:rsidR="007F24F3" w:rsidRDefault="00000000" w:rsidP="00050101">
      <w:pPr>
        <w:pStyle w:val="ListBullet"/>
        <w:numPr>
          <w:ilvl w:val="0"/>
          <w:numId w:val="22"/>
        </w:numPr>
      </w:pPr>
      <w:r>
        <w:t>Cabo Verde: 69.6</w:t>
      </w:r>
    </w:p>
    <w:p w14:paraId="3463B4AA" w14:textId="77777777" w:rsidR="007F24F3" w:rsidRDefault="00000000" w:rsidP="00050101">
      <w:pPr>
        <w:pStyle w:val="ListBullet"/>
        <w:numPr>
          <w:ilvl w:val="0"/>
          <w:numId w:val="22"/>
        </w:numPr>
      </w:pPr>
      <w:r>
        <w:t>South Africa: 65.9</w:t>
      </w:r>
    </w:p>
    <w:p w14:paraId="7016A037" w14:textId="77777777" w:rsidR="007F24F3" w:rsidRDefault="00000000" w:rsidP="00050101">
      <w:pPr>
        <w:pStyle w:val="ListBullet"/>
        <w:numPr>
          <w:ilvl w:val="0"/>
          <w:numId w:val="22"/>
        </w:numPr>
      </w:pPr>
      <w:r>
        <w:t>Botswana: 65.8</w:t>
      </w:r>
    </w:p>
    <w:p w14:paraId="2F0D629B" w14:textId="77777777" w:rsidR="007F24F3" w:rsidRDefault="00000000">
      <w:pPr>
        <w:pStyle w:val="Heading2"/>
      </w:pPr>
      <w:r>
        <w:t>3. Significant Improvers (2014-2023)</w:t>
      </w:r>
    </w:p>
    <w:p w14:paraId="2F8C9B44" w14:textId="77777777" w:rsidR="007F24F3" w:rsidRDefault="00000000">
      <w:r>
        <w:t>Countries showing the greatest governance improvements:</w:t>
      </w:r>
    </w:p>
    <w:p w14:paraId="402D5A11" w14:textId="77777777" w:rsidR="007F24F3" w:rsidRDefault="00000000" w:rsidP="00050101">
      <w:pPr>
        <w:pStyle w:val="ListBullet"/>
        <w:numPr>
          <w:ilvl w:val="0"/>
          <w:numId w:val="23"/>
        </w:numPr>
      </w:pPr>
      <w:r>
        <w:t>Seychelles: +10.0 points</w:t>
      </w:r>
    </w:p>
    <w:p w14:paraId="26E51A44" w14:textId="77777777" w:rsidR="007F24F3" w:rsidRDefault="00000000" w:rsidP="00050101">
      <w:pPr>
        <w:pStyle w:val="ListBullet"/>
        <w:numPr>
          <w:ilvl w:val="0"/>
          <w:numId w:val="23"/>
        </w:numPr>
      </w:pPr>
      <w:r>
        <w:t>Gambia: +7.2 points</w:t>
      </w:r>
    </w:p>
    <w:p w14:paraId="3E2D5F3F" w14:textId="77777777" w:rsidR="007F24F3" w:rsidRDefault="00000000" w:rsidP="00050101">
      <w:pPr>
        <w:pStyle w:val="ListBullet"/>
        <w:numPr>
          <w:ilvl w:val="0"/>
          <w:numId w:val="23"/>
        </w:numPr>
      </w:pPr>
      <w:r>
        <w:t>Somalia: +6.8 points</w:t>
      </w:r>
    </w:p>
    <w:p w14:paraId="6DABC4BB" w14:textId="77777777" w:rsidR="007F24F3" w:rsidRDefault="00000000" w:rsidP="00050101">
      <w:pPr>
        <w:pStyle w:val="ListBullet"/>
        <w:numPr>
          <w:ilvl w:val="0"/>
          <w:numId w:val="23"/>
        </w:numPr>
      </w:pPr>
      <w:r>
        <w:t>Sierra Leone: +6.4 points</w:t>
      </w:r>
    </w:p>
    <w:p w14:paraId="71A739C2" w14:textId="77777777" w:rsidR="007F24F3" w:rsidRDefault="00000000" w:rsidP="00050101">
      <w:pPr>
        <w:pStyle w:val="ListBullet"/>
        <w:numPr>
          <w:ilvl w:val="0"/>
          <w:numId w:val="23"/>
        </w:numPr>
      </w:pPr>
      <w:r>
        <w:t>Angola: +5.8 points</w:t>
      </w:r>
    </w:p>
    <w:p w14:paraId="375FC32F" w14:textId="77777777" w:rsidR="007F24F3" w:rsidRDefault="00000000">
      <w:pPr>
        <w:pStyle w:val="Heading2"/>
      </w:pPr>
      <w:r>
        <w:t>4. Regional Patterns</w:t>
      </w:r>
    </w:p>
    <w:p w14:paraId="6FCFB7B7" w14:textId="77777777" w:rsidR="007F24F3" w:rsidRDefault="00000000" w:rsidP="00050101">
      <w:pPr>
        <w:pStyle w:val="ListBullet"/>
        <w:numPr>
          <w:ilvl w:val="0"/>
          <w:numId w:val="24"/>
        </w:numPr>
      </w:pPr>
      <w:r>
        <w:t>Southern Africa: 54.6</w:t>
      </w:r>
    </w:p>
    <w:p w14:paraId="0EC7D8ED" w14:textId="77777777" w:rsidR="007F24F3" w:rsidRDefault="00000000" w:rsidP="00050101">
      <w:pPr>
        <w:pStyle w:val="ListBullet"/>
        <w:numPr>
          <w:ilvl w:val="0"/>
          <w:numId w:val="24"/>
        </w:numPr>
      </w:pPr>
      <w:r>
        <w:t>North Africa: 53.7</w:t>
      </w:r>
    </w:p>
    <w:p w14:paraId="23D9AFE0" w14:textId="77777777" w:rsidR="007F24F3" w:rsidRDefault="00000000" w:rsidP="00050101">
      <w:pPr>
        <w:pStyle w:val="ListBullet"/>
        <w:numPr>
          <w:ilvl w:val="0"/>
          <w:numId w:val="24"/>
        </w:numPr>
      </w:pPr>
      <w:r>
        <w:t>West Africa: 50.8</w:t>
      </w:r>
    </w:p>
    <w:p w14:paraId="713CEB8E" w14:textId="77777777" w:rsidR="007F24F3" w:rsidRDefault="00000000" w:rsidP="00050101">
      <w:pPr>
        <w:pStyle w:val="ListBullet"/>
        <w:numPr>
          <w:ilvl w:val="0"/>
          <w:numId w:val="24"/>
        </w:numPr>
      </w:pPr>
      <w:r>
        <w:t>East Africa: 46.5</w:t>
      </w:r>
    </w:p>
    <w:p w14:paraId="492595DB" w14:textId="77777777" w:rsidR="007F24F3" w:rsidRDefault="00000000">
      <w:pPr>
        <w:pStyle w:val="Heading2"/>
      </w:pPr>
      <w:r>
        <w:t>5. Category Performance</w:t>
      </w:r>
    </w:p>
    <w:p w14:paraId="41F2C25C" w14:textId="77777777" w:rsidR="007F24F3" w:rsidRDefault="00000000">
      <w:r>
        <w:t>Average scores across main governance categories:</w:t>
      </w:r>
    </w:p>
    <w:p w14:paraId="1917080F" w14:textId="77777777" w:rsidR="007F24F3" w:rsidRDefault="00000000" w:rsidP="00050101">
      <w:pPr>
        <w:pStyle w:val="ListBullet"/>
        <w:numPr>
          <w:ilvl w:val="0"/>
          <w:numId w:val="25"/>
        </w:numPr>
      </w:pPr>
      <w:r>
        <w:t>SECURITY &amp; RULE OF LAW: 47.9</w:t>
      </w:r>
    </w:p>
    <w:p w14:paraId="239CE99D" w14:textId="77777777" w:rsidR="007F24F3" w:rsidRDefault="00000000" w:rsidP="00050101">
      <w:pPr>
        <w:pStyle w:val="ListBullet"/>
        <w:numPr>
          <w:ilvl w:val="0"/>
          <w:numId w:val="25"/>
        </w:numPr>
      </w:pPr>
      <w:r>
        <w:lastRenderedPageBreak/>
        <w:t>PARTICIPATION, RIGHTS &amp; INCLUSION: 48.7</w:t>
      </w:r>
    </w:p>
    <w:p w14:paraId="55BAEE6C" w14:textId="77777777" w:rsidR="007F24F3" w:rsidRDefault="00000000" w:rsidP="00050101">
      <w:pPr>
        <w:pStyle w:val="ListBullet"/>
        <w:numPr>
          <w:ilvl w:val="0"/>
          <w:numId w:val="25"/>
        </w:numPr>
      </w:pPr>
      <w:r>
        <w:t>FOUNDATIONS FOR ECONOMIC OPPORTUNITY: 48.9</w:t>
      </w:r>
    </w:p>
    <w:p w14:paraId="7F597C86" w14:textId="77777777" w:rsidR="007F24F3" w:rsidRDefault="00000000" w:rsidP="00050101">
      <w:pPr>
        <w:pStyle w:val="ListBullet"/>
        <w:numPr>
          <w:ilvl w:val="0"/>
          <w:numId w:val="25"/>
        </w:numPr>
      </w:pPr>
      <w:r>
        <w:t>HUMAN DEVELOPMENT: 51.6</w:t>
      </w:r>
    </w:p>
    <w:p w14:paraId="77B11D7A" w14:textId="77777777" w:rsidR="00050101" w:rsidRDefault="00050101">
      <w:pPr>
        <w:pStyle w:val="Heading2"/>
      </w:pPr>
    </w:p>
    <w:p w14:paraId="270B11F9" w14:textId="3D54281B" w:rsidR="007F24F3" w:rsidRDefault="00000000">
      <w:pPr>
        <w:pStyle w:val="Heading2"/>
      </w:pPr>
      <w:r>
        <w:t>METHODOLOGY</w:t>
      </w:r>
      <w:r w:rsidR="00F04434">
        <w:t>: KEY AREAS OF ASSESSMENT</w:t>
      </w:r>
    </w:p>
    <w:p w14:paraId="36C25111" w14:textId="77777777" w:rsidR="00F04434" w:rsidRDefault="00000000" w:rsidP="00EE5A04">
      <w:pPr>
        <w:jc w:val="both"/>
      </w:pPr>
      <w:r>
        <w:t xml:space="preserve">The IIAG assesses governance across </w:t>
      </w:r>
      <w:r w:rsidRPr="00F04434">
        <w:rPr>
          <w:b/>
          <w:bCs/>
        </w:rPr>
        <w:t>four</w:t>
      </w:r>
      <w:r>
        <w:t xml:space="preserve"> main categories: </w:t>
      </w:r>
    </w:p>
    <w:p w14:paraId="19DACCA4" w14:textId="77777777" w:rsidR="00F04434" w:rsidRPr="00F04434" w:rsidRDefault="00000000" w:rsidP="00F04434">
      <w:pPr>
        <w:pStyle w:val="ListParagraph"/>
        <w:numPr>
          <w:ilvl w:val="0"/>
          <w:numId w:val="34"/>
        </w:numPr>
        <w:jc w:val="both"/>
        <w:rPr>
          <w:b/>
          <w:bCs/>
        </w:rPr>
      </w:pPr>
      <w:r w:rsidRPr="00F04434">
        <w:rPr>
          <w:b/>
          <w:bCs/>
        </w:rPr>
        <w:t xml:space="preserve">Security &amp; Rule of Law, </w:t>
      </w:r>
    </w:p>
    <w:p w14:paraId="0998411D" w14:textId="77777777" w:rsidR="00F04434" w:rsidRPr="00F04434" w:rsidRDefault="00000000" w:rsidP="00F04434">
      <w:pPr>
        <w:pStyle w:val="ListParagraph"/>
        <w:numPr>
          <w:ilvl w:val="0"/>
          <w:numId w:val="34"/>
        </w:numPr>
        <w:jc w:val="both"/>
        <w:rPr>
          <w:b/>
          <w:bCs/>
        </w:rPr>
      </w:pPr>
      <w:r w:rsidRPr="00F04434">
        <w:rPr>
          <w:b/>
          <w:bCs/>
        </w:rPr>
        <w:t xml:space="preserve">Participation, Rights &amp; Inclusion, </w:t>
      </w:r>
    </w:p>
    <w:p w14:paraId="6A298BC1" w14:textId="77777777" w:rsidR="00F04434" w:rsidRPr="00F04434" w:rsidRDefault="00000000" w:rsidP="00F04434">
      <w:pPr>
        <w:pStyle w:val="ListParagraph"/>
        <w:numPr>
          <w:ilvl w:val="0"/>
          <w:numId w:val="34"/>
        </w:numPr>
        <w:jc w:val="both"/>
        <w:rPr>
          <w:b/>
          <w:bCs/>
        </w:rPr>
      </w:pPr>
      <w:r w:rsidRPr="00F04434">
        <w:rPr>
          <w:b/>
          <w:bCs/>
        </w:rPr>
        <w:t xml:space="preserve">Foundations for Economic Opportunity, and </w:t>
      </w:r>
    </w:p>
    <w:p w14:paraId="6DFA8FB3" w14:textId="645B4326" w:rsidR="00F04434" w:rsidRDefault="00000000" w:rsidP="00F04434">
      <w:pPr>
        <w:pStyle w:val="ListParagraph"/>
        <w:numPr>
          <w:ilvl w:val="0"/>
          <w:numId w:val="34"/>
        </w:numPr>
        <w:jc w:val="both"/>
      </w:pPr>
      <w:r w:rsidRPr="00F04434">
        <w:rPr>
          <w:b/>
          <w:bCs/>
        </w:rPr>
        <w:t>Human Development</w:t>
      </w:r>
    </w:p>
    <w:p w14:paraId="6EBD4982" w14:textId="56E36DDD" w:rsidR="007F24F3" w:rsidRDefault="00000000" w:rsidP="00EE5A04">
      <w:pPr>
        <w:jc w:val="both"/>
      </w:pPr>
      <w:r>
        <w:t>Each category comprises multiple subcategories, creating a comprehensive governance assessment framework.</w:t>
      </w:r>
    </w:p>
    <w:p w14:paraId="6EB9E813" w14:textId="77777777" w:rsidR="007F24F3" w:rsidRDefault="00000000">
      <w:r>
        <w:br w:type="page"/>
      </w:r>
    </w:p>
    <w:p w14:paraId="6D0917D0" w14:textId="77777777" w:rsidR="007F24F3" w:rsidRDefault="00000000">
      <w:pPr>
        <w:pStyle w:val="Heading1"/>
      </w:pPr>
      <w:r>
        <w:lastRenderedPageBreak/>
        <w:t>1. GOVERNANCE DISTRIBUTION AND REGIONAL COMPARISON</w:t>
      </w:r>
    </w:p>
    <w:p w14:paraId="5139E6E5" w14:textId="77777777" w:rsidR="00EE5A04" w:rsidRDefault="00EE5A04" w:rsidP="00EE5A04">
      <w:pPr>
        <w:jc w:val="both"/>
        <w:rPr>
          <w:b/>
          <w:bCs/>
        </w:rPr>
      </w:pPr>
    </w:p>
    <w:p w14:paraId="3B49509D" w14:textId="77777777" w:rsidR="00775961" w:rsidRDefault="00000000" w:rsidP="00EE5A04">
      <w:pPr>
        <w:jc w:val="both"/>
      </w:pPr>
      <w:r w:rsidRPr="00EE5A04">
        <w:rPr>
          <w:b/>
          <w:bCs/>
        </w:rPr>
        <w:t>Figure 1</w:t>
      </w:r>
      <w:r>
        <w:t xml:space="preserve"> illustrates the distribution of governance scores across all African countries in 2023. </w:t>
      </w:r>
    </w:p>
    <w:p w14:paraId="10E36A98" w14:textId="6F0FB7B5" w:rsidR="007F24F3" w:rsidRDefault="00000000" w:rsidP="00EE5A04">
      <w:pPr>
        <w:jc w:val="both"/>
      </w:pPr>
      <w:r>
        <w:t>The histogram</w:t>
      </w:r>
      <w:r w:rsidR="00420FE4">
        <w:t xml:space="preserve"> (on the left)</w:t>
      </w:r>
      <w:r>
        <w:t xml:space="preserve"> reveals the central tendency and </w:t>
      </w:r>
      <w:r w:rsidR="00775961">
        <w:t>spreads</w:t>
      </w:r>
      <w:r>
        <w:t xml:space="preserve"> of governance performance, while the boxplot</w:t>
      </w:r>
      <w:r w:rsidR="00420FE4">
        <w:t xml:space="preserve"> (on the right)</w:t>
      </w:r>
      <w:r>
        <w:t xml:space="preserve"> compares regional variations. The continental mean of </w:t>
      </w:r>
      <w:r w:rsidRPr="00775961">
        <w:rPr>
          <w:b/>
          <w:bCs/>
        </w:rPr>
        <w:t>49.3</w:t>
      </w:r>
      <w:r>
        <w:t xml:space="preserve"> and median of </w:t>
      </w:r>
      <w:r w:rsidRPr="00775961">
        <w:rPr>
          <w:b/>
          <w:bCs/>
        </w:rPr>
        <w:t>49.0</w:t>
      </w:r>
      <w:r>
        <w:t xml:space="preserve"> indicate the typical governance </w:t>
      </w:r>
      <w:r w:rsidR="0068775D">
        <w:t xml:space="preserve">behavior – with some countries well governed, some poorly governed and the rest fairly or averagely governed. </w:t>
      </w:r>
      <w:r w:rsidR="005B18E1" w:rsidRPr="00B76C3A">
        <w:rPr>
          <w:b/>
          <w:bCs/>
        </w:rPr>
        <w:t>This is a strong indication that the data was collected using a sound statistical approach and that it represents a real</w:t>
      </w:r>
      <w:r w:rsidR="00420FE4">
        <w:rPr>
          <w:b/>
          <w:bCs/>
        </w:rPr>
        <w:t>-world</w:t>
      </w:r>
      <w:r w:rsidR="005B18E1" w:rsidRPr="00B76C3A">
        <w:rPr>
          <w:b/>
          <w:bCs/>
        </w:rPr>
        <w:t xml:space="preserve"> environment</w:t>
      </w:r>
      <w:r w:rsidR="005B18E1">
        <w:t>.</w:t>
      </w:r>
    </w:p>
    <w:p w14:paraId="4B5C1E50" w14:textId="03876F43" w:rsidR="00423930" w:rsidRDefault="00423930" w:rsidP="00EE5A04">
      <w:pPr>
        <w:jc w:val="both"/>
      </w:pPr>
      <w:r>
        <w:t>The regional data also depicts a normal environment except the Central Africa region which is skewed to the left</w:t>
      </w:r>
      <w:r w:rsidR="00790DF3">
        <w:t xml:space="preserve"> (the lower end)</w:t>
      </w:r>
      <w:r>
        <w:t xml:space="preserve"> by many of the countries facing acute governance challenges.</w:t>
      </w:r>
    </w:p>
    <w:p w14:paraId="5BDDAC76" w14:textId="77777777" w:rsidR="00EE5A04" w:rsidRDefault="00EE5A04" w:rsidP="00EE5A04">
      <w:pPr>
        <w:jc w:val="both"/>
      </w:pPr>
    </w:p>
    <w:p w14:paraId="1B1E1DED" w14:textId="77777777" w:rsidR="00EE5A04" w:rsidRDefault="00EE5A04" w:rsidP="00EE5A04">
      <w:pPr>
        <w:jc w:val="both"/>
      </w:pPr>
    </w:p>
    <w:p w14:paraId="7F7D0F93" w14:textId="77777777" w:rsidR="007F24F3" w:rsidRDefault="00000000">
      <w:r>
        <w:rPr>
          <w:noProof/>
        </w:rPr>
        <w:drawing>
          <wp:inline distT="0" distB="0" distL="0" distR="0" wp14:anchorId="453B1A61" wp14:editId="14308015">
            <wp:extent cx="6316495" cy="3118757"/>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_distribution.png"/>
                    <pic:cNvPicPr/>
                  </pic:nvPicPr>
                  <pic:blipFill>
                    <a:blip r:embed="rId8"/>
                    <a:stretch>
                      <a:fillRect/>
                    </a:stretch>
                  </pic:blipFill>
                  <pic:spPr>
                    <a:xfrm>
                      <a:off x="0" y="0"/>
                      <a:ext cx="6343086" cy="3131886"/>
                    </a:xfrm>
                    <a:prstGeom prst="rect">
                      <a:avLst/>
                    </a:prstGeom>
                  </pic:spPr>
                </pic:pic>
              </a:graphicData>
            </a:graphic>
          </wp:inline>
        </w:drawing>
      </w:r>
    </w:p>
    <w:p w14:paraId="7BCB69BE" w14:textId="23AF25F2" w:rsidR="007F24F3" w:rsidRDefault="00E51154">
      <w:r>
        <w:t>Figure 1: distribution of governance scores across all African countries in 2023</w:t>
      </w:r>
    </w:p>
    <w:p w14:paraId="302501D4" w14:textId="77777777" w:rsidR="00E51154" w:rsidRDefault="00E51154"/>
    <w:p w14:paraId="7335452F" w14:textId="77777777" w:rsidR="00E51154" w:rsidRDefault="00E51154"/>
    <w:p w14:paraId="2AD1CF10" w14:textId="77777777" w:rsidR="00E51154" w:rsidRDefault="00E51154"/>
    <w:p w14:paraId="45A49B3B" w14:textId="77777777" w:rsidR="007F24F3" w:rsidRDefault="00000000">
      <w:pPr>
        <w:pStyle w:val="Heading1"/>
      </w:pPr>
      <w:r>
        <w:lastRenderedPageBreak/>
        <w:t>2. TOP AND BOTTOM PERFORMING COUNTRIES</w:t>
      </w:r>
    </w:p>
    <w:p w14:paraId="729D327A" w14:textId="77777777" w:rsidR="00EE5A04" w:rsidRDefault="00EE5A04"/>
    <w:p w14:paraId="48D4B0E4" w14:textId="74DC8B28" w:rsidR="00EE5A04" w:rsidRDefault="00000000" w:rsidP="00720736">
      <w:pPr>
        <w:jc w:val="both"/>
      </w:pPr>
      <w:r w:rsidRPr="00EE5A04">
        <w:rPr>
          <w:b/>
          <w:bCs/>
        </w:rPr>
        <w:t>Figure 2</w:t>
      </w:r>
      <w:r>
        <w:t xml:space="preserve"> presents the top 15 and bottom 15 countries by overall governance score in 2023. </w:t>
      </w:r>
      <w:r w:rsidR="00720736">
        <w:t xml:space="preserve">This visualization reveals the significant governance gap across the continent. </w:t>
      </w:r>
      <w:r>
        <w:t xml:space="preserve">The color coding highlights different performance levels: </w:t>
      </w:r>
    </w:p>
    <w:p w14:paraId="7BDDA8FD" w14:textId="4D9CE67A" w:rsidR="00EE5A04" w:rsidRDefault="00F63AE7" w:rsidP="00720736">
      <w:pPr>
        <w:pStyle w:val="ListParagraph"/>
        <w:numPr>
          <w:ilvl w:val="0"/>
          <w:numId w:val="10"/>
        </w:numPr>
        <w:spacing w:line="480" w:lineRule="auto"/>
        <w:jc w:val="both"/>
      </w:pPr>
      <w:r>
        <w:t>Green indicates strong governance (60+)</w:t>
      </w:r>
    </w:p>
    <w:p w14:paraId="45A59F04" w14:textId="731F7591" w:rsidR="00EE5A04" w:rsidRDefault="00F63AE7" w:rsidP="00720736">
      <w:pPr>
        <w:pStyle w:val="ListParagraph"/>
        <w:numPr>
          <w:ilvl w:val="0"/>
          <w:numId w:val="10"/>
        </w:numPr>
        <w:spacing w:line="480" w:lineRule="auto"/>
        <w:jc w:val="both"/>
      </w:pPr>
      <w:r>
        <w:t xml:space="preserve">Orange represents moderate performance (50-60), and </w:t>
      </w:r>
    </w:p>
    <w:p w14:paraId="01DBF685" w14:textId="03515CF5" w:rsidR="00EE5A04" w:rsidRDefault="00F63AE7" w:rsidP="00720736">
      <w:pPr>
        <w:pStyle w:val="ListParagraph"/>
        <w:numPr>
          <w:ilvl w:val="0"/>
          <w:numId w:val="10"/>
        </w:numPr>
        <w:spacing w:line="480" w:lineRule="auto"/>
        <w:jc w:val="both"/>
      </w:pPr>
      <w:r>
        <w:t xml:space="preserve">Red signifies governance challenges (below 50). </w:t>
      </w:r>
    </w:p>
    <w:p w14:paraId="1A1017E1" w14:textId="73C514C4" w:rsidR="00720736" w:rsidRDefault="00720736" w:rsidP="00720736">
      <w:pPr>
        <w:jc w:val="both"/>
      </w:pPr>
      <w:r w:rsidRPr="00720736">
        <w:t>Also notice</w:t>
      </w:r>
      <w:r>
        <w:t xml:space="preserve"> that</w:t>
      </w:r>
      <w:r w:rsidRPr="00720736">
        <w:t xml:space="preserve"> there's a middle group not show</w:t>
      </w:r>
      <w:r>
        <w:t>n</w:t>
      </w:r>
      <w:r w:rsidRPr="00720736">
        <w:t xml:space="preserve"> here - the 24 countries in the middle - which represent the majority of Africa. They're making progress but have significant room for improvement.</w:t>
      </w:r>
    </w:p>
    <w:p w14:paraId="73731133" w14:textId="77777777" w:rsidR="00EE5A04" w:rsidRDefault="00EE5A04"/>
    <w:p w14:paraId="012DEEA9" w14:textId="77777777" w:rsidR="007F24F3" w:rsidRDefault="00000000">
      <w:r>
        <w:rPr>
          <w:noProof/>
        </w:rPr>
        <w:drawing>
          <wp:inline distT="0" distB="0" distL="0" distR="0" wp14:anchorId="664E88F5" wp14:editId="02EC4A9E">
            <wp:extent cx="5941060" cy="432707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_top_bottom.png"/>
                    <pic:cNvPicPr/>
                  </pic:nvPicPr>
                  <pic:blipFill>
                    <a:blip r:embed="rId9"/>
                    <a:stretch>
                      <a:fillRect/>
                    </a:stretch>
                  </pic:blipFill>
                  <pic:spPr>
                    <a:xfrm>
                      <a:off x="0" y="0"/>
                      <a:ext cx="5963213" cy="4343206"/>
                    </a:xfrm>
                    <a:prstGeom prst="rect">
                      <a:avLst/>
                    </a:prstGeom>
                  </pic:spPr>
                </pic:pic>
              </a:graphicData>
            </a:graphic>
          </wp:inline>
        </w:drawing>
      </w:r>
    </w:p>
    <w:p w14:paraId="5A298483" w14:textId="72739F53" w:rsidR="007F24F3" w:rsidRDefault="00E51154">
      <w:r>
        <w:t>Figure 2: the top 15 and bottom 15 countries by overall governance score in 2023</w:t>
      </w:r>
    </w:p>
    <w:p w14:paraId="05CD7B7F" w14:textId="77777777" w:rsidR="007F24F3" w:rsidRDefault="00000000">
      <w:pPr>
        <w:pStyle w:val="Heading1"/>
      </w:pPr>
      <w:r>
        <w:lastRenderedPageBreak/>
        <w:t>3. CONTINENTAL GOVERNANCE TRENDS</w:t>
      </w:r>
    </w:p>
    <w:p w14:paraId="5E3844C6" w14:textId="77777777" w:rsidR="00775961" w:rsidRDefault="00775961" w:rsidP="00775961">
      <w:pPr>
        <w:jc w:val="both"/>
        <w:rPr>
          <w:b/>
          <w:bCs/>
        </w:rPr>
      </w:pPr>
    </w:p>
    <w:p w14:paraId="37077747" w14:textId="28C78909" w:rsidR="007F24F3" w:rsidRDefault="00000000" w:rsidP="00775961">
      <w:pPr>
        <w:jc w:val="both"/>
      </w:pPr>
      <w:r w:rsidRPr="00775961">
        <w:rPr>
          <w:b/>
          <w:bCs/>
        </w:rPr>
        <w:t>Figure 3</w:t>
      </w:r>
      <w:r>
        <w:t xml:space="preserve"> tracks the evolution of overall governance and its four main categories from </w:t>
      </w:r>
      <w:r w:rsidRPr="00775961">
        <w:rPr>
          <w:b/>
          <w:bCs/>
        </w:rPr>
        <w:t>2014</w:t>
      </w:r>
      <w:r>
        <w:t xml:space="preserve"> to </w:t>
      </w:r>
      <w:r w:rsidRPr="00775961">
        <w:rPr>
          <w:b/>
          <w:bCs/>
        </w:rPr>
        <w:t>2023</w:t>
      </w:r>
      <w:r>
        <w:t>. This temporal analysis reveals long-term trends and patterns in African governance. The data shows that overall governance has</w:t>
      </w:r>
      <w:r w:rsidR="00775961">
        <w:t xml:space="preserve"> </w:t>
      </w:r>
      <w:r w:rsidR="00AA274C" w:rsidRPr="00AA274C">
        <w:t xml:space="preserve">been remarkably stable (stagnant) </w:t>
      </w:r>
      <w:r>
        <w:t>over the analysis period.</w:t>
      </w:r>
    </w:p>
    <w:p w14:paraId="208B8016" w14:textId="1EA75822" w:rsidR="00AA274C" w:rsidRDefault="00AA274C" w:rsidP="00E56F84">
      <w:pPr>
        <w:pStyle w:val="ListParagraph"/>
        <w:numPr>
          <w:ilvl w:val="0"/>
          <w:numId w:val="36"/>
        </w:numPr>
        <w:jc w:val="both"/>
      </w:pPr>
      <w:r>
        <w:t>Continental average stable (neither improving nor declining dramatically)</w:t>
      </w:r>
    </w:p>
    <w:p w14:paraId="22BDA0AA" w14:textId="6A67A83B" w:rsidR="00AA274C" w:rsidRDefault="00AA274C" w:rsidP="00E56F84">
      <w:pPr>
        <w:pStyle w:val="ListParagraph"/>
        <w:numPr>
          <w:ilvl w:val="0"/>
          <w:numId w:val="36"/>
        </w:numPr>
        <w:jc w:val="both"/>
      </w:pPr>
      <w:r>
        <w:t>Human Development showing positive trajectory</w:t>
      </w:r>
      <w:r w:rsidR="00A042A1">
        <w:t xml:space="preserve">. </w:t>
      </w:r>
      <w:r w:rsidR="00A042A1" w:rsidRPr="00A042A1">
        <w:t>Africa is making progress in health, education, and social protection</w:t>
      </w:r>
    </w:p>
    <w:p w14:paraId="5FC956F9" w14:textId="275615E6" w:rsidR="00AA274C" w:rsidRDefault="00AA274C" w:rsidP="00E56F84">
      <w:pPr>
        <w:pStyle w:val="ListParagraph"/>
        <w:numPr>
          <w:ilvl w:val="0"/>
          <w:numId w:val="36"/>
        </w:numPr>
        <w:jc w:val="both"/>
      </w:pPr>
      <w:r>
        <w:t>Security &amp; Rule of Law more volatile</w:t>
      </w:r>
      <w:r w:rsidR="00A042A1">
        <w:t xml:space="preserve"> </w:t>
      </w:r>
      <w:r w:rsidR="00A042A1" w:rsidRPr="00A042A1">
        <w:t>with a concerning dip around 2021-2022, likely reflecting COVID impacts and democratic backsliding in some countries.</w:t>
      </w:r>
    </w:p>
    <w:p w14:paraId="430F23C9" w14:textId="5A430696" w:rsidR="00AA274C" w:rsidRDefault="00AA274C" w:rsidP="00E56F84">
      <w:pPr>
        <w:pStyle w:val="ListParagraph"/>
        <w:numPr>
          <w:ilvl w:val="0"/>
          <w:numId w:val="36"/>
        </w:numPr>
        <w:jc w:val="both"/>
      </w:pPr>
      <w:r>
        <w:t>Country-level stories more important than continental average</w:t>
      </w:r>
    </w:p>
    <w:p w14:paraId="192A303F" w14:textId="77777777" w:rsidR="00A042A1" w:rsidRDefault="00A042A1" w:rsidP="00A042A1">
      <w:pPr>
        <w:jc w:val="both"/>
      </w:pPr>
    </w:p>
    <w:p w14:paraId="0CBF58D6" w14:textId="11A04300" w:rsidR="00A042A1" w:rsidRDefault="00A042A1" w:rsidP="00A042A1">
      <w:pPr>
        <w:jc w:val="both"/>
      </w:pPr>
      <w:r>
        <w:t xml:space="preserve">While </w:t>
      </w:r>
      <w:r w:rsidRPr="00A042A1">
        <w:t>Some countries have improved dramatically</w:t>
      </w:r>
      <w:r>
        <w:t>,</w:t>
      </w:r>
      <w:r w:rsidRPr="00A042A1">
        <w:t xml:space="preserve"> others have declined</w:t>
      </w:r>
      <w:r>
        <w:t xml:space="preserve">. The </w:t>
      </w:r>
      <w:r w:rsidRPr="00A042A1">
        <w:t xml:space="preserve">continental averages mask significant country-level variation </w:t>
      </w:r>
      <w:r>
        <w:t>making</w:t>
      </w:r>
      <w:r w:rsidRPr="00A042A1">
        <w:t xml:space="preserve"> the average </w:t>
      </w:r>
      <w:r>
        <w:t>to remain</w:t>
      </w:r>
      <w:r w:rsidRPr="00A042A1">
        <w:t xml:space="preserve"> flat because these offset each other.</w:t>
      </w:r>
    </w:p>
    <w:p w14:paraId="7D4D4410" w14:textId="77777777" w:rsidR="00775961" w:rsidRDefault="00775961"/>
    <w:p w14:paraId="3477A4DA" w14:textId="77777777" w:rsidR="007F24F3" w:rsidRDefault="00000000">
      <w:r>
        <w:rPr>
          <w:noProof/>
        </w:rPr>
        <w:drawing>
          <wp:inline distT="0" distB="0" distL="0" distR="0" wp14:anchorId="1E4040E7" wp14:editId="3C28206C">
            <wp:extent cx="6295201" cy="346165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_trends.png"/>
                    <pic:cNvPicPr/>
                  </pic:nvPicPr>
                  <pic:blipFill>
                    <a:blip r:embed="rId10"/>
                    <a:stretch>
                      <a:fillRect/>
                    </a:stretch>
                  </pic:blipFill>
                  <pic:spPr>
                    <a:xfrm>
                      <a:off x="0" y="0"/>
                      <a:ext cx="6330580" cy="3481112"/>
                    </a:xfrm>
                    <a:prstGeom prst="rect">
                      <a:avLst/>
                    </a:prstGeom>
                  </pic:spPr>
                </pic:pic>
              </a:graphicData>
            </a:graphic>
          </wp:inline>
        </w:drawing>
      </w:r>
    </w:p>
    <w:p w14:paraId="6DDF032B" w14:textId="44968F35" w:rsidR="00E51154" w:rsidRDefault="00E51154">
      <w:pPr>
        <w:rPr>
          <w:b/>
          <w:bCs/>
        </w:rPr>
      </w:pPr>
      <w:r>
        <w:t xml:space="preserve">Figure 3: evolution of overall governance and its four main categories from </w:t>
      </w:r>
      <w:r w:rsidRPr="00775961">
        <w:rPr>
          <w:b/>
          <w:bCs/>
        </w:rPr>
        <w:t>2014</w:t>
      </w:r>
      <w:r>
        <w:t xml:space="preserve"> to </w:t>
      </w:r>
      <w:r w:rsidRPr="00775961">
        <w:rPr>
          <w:b/>
          <w:bCs/>
        </w:rPr>
        <w:t>2023</w:t>
      </w:r>
    </w:p>
    <w:p w14:paraId="1D64EAF0" w14:textId="77777777" w:rsidR="007F24F3" w:rsidRDefault="00000000">
      <w:pPr>
        <w:pStyle w:val="Heading1"/>
      </w:pPr>
      <w:r>
        <w:lastRenderedPageBreak/>
        <w:t>4. CATEGORY PERFORMANCE HEATMAP</w:t>
      </w:r>
    </w:p>
    <w:p w14:paraId="14038149" w14:textId="77777777" w:rsidR="00775961" w:rsidRDefault="00775961"/>
    <w:p w14:paraId="4395B14F" w14:textId="6EECF86E" w:rsidR="007F24F3" w:rsidRDefault="00000000" w:rsidP="00775961">
      <w:pPr>
        <w:jc w:val="both"/>
      </w:pPr>
      <w:r w:rsidRPr="00775961">
        <w:rPr>
          <w:b/>
          <w:bCs/>
        </w:rPr>
        <w:t>Figure 4</w:t>
      </w:r>
      <w:r>
        <w:t xml:space="preserve"> displays a detailed heatmap of category performance for the top 20 countries in 2023. This visualization enables identification of governance strengths and weaknesses across different dimensions. Green cells indicate strong performance, yellow represents moderate scores, and red highlights areas requiring improvement.</w:t>
      </w:r>
    </w:p>
    <w:p w14:paraId="704D32C1" w14:textId="27E5504B" w:rsidR="00553F22" w:rsidRDefault="00553F22" w:rsidP="00553F22">
      <w:pPr>
        <w:pStyle w:val="ListParagraph"/>
        <w:numPr>
          <w:ilvl w:val="0"/>
          <w:numId w:val="37"/>
        </w:numPr>
        <w:jc w:val="both"/>
      </w:pPr>
      <w:r w:rsidRPr="00553F22">
        <w:t xml:space="preserve">No country is </w:t>
      </w:r>
      <w:r w:rsidR="00604678">
        <w:t xml:space="preserve">full </w:t>
      </w:r>
      <w:r w:rsidRPr="00553F22">
        <w:t xml:space="preserve">green across the board. Seychelles comes closest, but even they have yellow cells. This tells us that achieving excellence in governance requires balanced progress </w:t>
      </w:r>
      <w:r w:rsidR="007E0A82">
        <w:t>–</w:t>
      </w:r>
      <w:r w:rsidRPr="00553F22">
        <w:t xml:space="preserve"> </w:t>
      </w:r>
      <w:r w:rsidR="007E0A82">
        <w:t>a country</w:t>
      </w:r>
      <w:r w:rsidRPr="00553F22">
        <w:t xml:space="preserve"> can't excel in just one area.</w:t>
      </w:r>
    </w:p>
    <w:p w14:paraId="1C4630D9" w14:textId="3D765CF0" w:rsidR="00553F22" w:rsidRDefault="00553F22" w:rsidP="00553F22">
      <w:pPr>
        <w:pStyle w:val="ListParagraph"/>
        <w:numPr>
          <w:ilvl w:val="0"/>
          <w:numId w:val="37"/>
        </w:numPr>
        <w:jc w:val="both"/>
      </w:pPr>
      <w:r w:rsidRPr="00553F22">
        <w:t>Notice some countries are strong in Human Development (right column) but weaker in Security or Economic Foundations. This suggests different reform pathways and priorities</w:t>
      </w:r>
      <w:r>
        <w:t>.</w:t>
      </w:r>
    </w:p>
    <w:p w14:paraId="010F8747" w14:textId="77777777" w:rsidR="00775961" w:rsidRDefault="00775961" w:rsidP="00775961">
      <w:pPr>
        <w:jc w:val="both"/>
      </w:pPr>
    </w:p>
    <w:p w14:paraId="40B64592" w14:textId="72A69460" w:rsidR="007F24F3" w:rsidRDefault="00000000">
      <w:r>
        <w:rPr>
          <w:noProof/>
        </w:rPr>
        <w:drawing>
          <wp:inline distT="0" distB="0" distL="0" distR="0" wp14:anchorId="70E222EA" wp14:editId="0929FC11">
            <wp:extent cx="5940944" cy="4620986"/>
            <wp:effectExtent l="0" t="0" r="317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_heatmap.png"/>
                    <pic:cNvPicPr/>
                  </pic:nvPicPr>
                  <pic:blipFill>
                    <a:blip r:embed="rId11"/>
                    <a:stretch>
                      <a:fillRect/>
                    </a:stretch>
                  </pic:blipFill>
                  <pic:spPr>
                    <a:xfrm>
                      <a:off x="0" y="0"/>
                      <a:ext cx="5986259" cy="4656233"/>
                    </a:xfrm>
                    <a:prstGeom prst="rect">
                      <a:avLst/>
                    </a:prstGeom>
                  </pic:spPr>
                </pic:pic>
              </a:graphicData>
            </a:graphic>
          </wp:inline>
        </w:drawing>
      </w:r>
    </w:p>
    <w:p w14:paraId="6A3A4DFB" w14:textId="7DDBEFD4" w:rsidR="00462865" w:rsidRDefault="00E51154">
      <w:r>
        <w:t>Figure 4: detailed heatmap of category performance for the top 20 countries in 2023</w:t>
      </w:r>
    </w:p>
    <w:p w14:paraId="2B97D77E" w14:textId="77777777" w:rsidR="007F24F3" w:rsidRDefault="00000000">
      <w:pPr>
        <w:pStyle w:val="Heading1"/>
      </w:pPr>
      <w:r>
        <w:lastRenderedPageBreak/>
        <w:t>5. GOVERNANCE CHANGE ANALYSIS</w:t>
      </w:r>
    </w:p>
    <w:p w14:paraId="6F157A34" w14:textId="77777777" w:rsidR="00775961" w:rsidRDefault="00775961"/>
    <w:p w14:paraId="7B32D45C" w14:textId="4BC56737" w:rsidR="007F24F3" w:rsidRDefault="00000000" w:rsidP="00775961">
      <w:pPr>
        <w:jc w:val="both"/>
      </w:pPr>
      <w:r w:rsidRPr="00775961">
        <w:rPr>
          <w:b/>
          <w:bCs/>
        </w:rPr>
        <w:t>Figure 5</w:t>
      </w:r>
      <w:r>
        <w:t xml:space="preserve"> presents governance changes for all countries from </w:t>
      </w:r>
      <w:r w:rsidRPr="00775961">
        <w:rPr>
          <w:b/>
          <w:bCs/>
        </w:rPr>
        <w:t>2014</w:t>
      </w:r>
      <w:r>
        <w:t xml:space="preserve"> to </w:t>
      </w:r>
      <w:r w:rsidRPr="00775961">
        <w:rPr>
          <w:b/>
          <w:bCs/>
        </w:rPr>
        <w:t>2023</w:t>
      </w:r>
      <w:r>
        <w:t>. Green bars indicate improvement, while red bars show decline. Of the 54 countries analyzed, 33 (61.1%) showed improvement, while 21 (38.9%) experienced decline.</w:t>
      </w:r>
    </w:p>
    <w:p w14:paraId="2E577EA1" w14:textId="50DB0E31" w:rsidR="00FC03EC" w:rsidRDefault="00FC03EC" w:rsidP="00FC03EC">
      <w:pPr>
        <w:jc w:val="both"/>
      </w:pPr>
      <w:r w:rsidRPr="00FC03EC">
        <w:t>These six countries have seen concerning declines:</w:t>
      </w:r>
      <w:r>
        <w:t xml:space="preserve"> </w:t>
      </w:r>
      <w:r w:rsidRPr="00FC03EC">
        <w:t>Tunisia down 4.7 points, Comoros down 4.7, Mali down 4.6, Mauritius down 4.0, Burkina Faso down 3.9, Botswana down 3.6.</w:t>
      </w:r>
    </w:p>
    <w:p w14:paraId="5D629B82" w14:textId="77777777" w:rsidR="00FC03EC" w:rsidRDefault="00FC03EC" w:rsidP="00FC03EC">
      <w:pPr>
        <w:pStyle w:val="ListParagraph"/>
        <w:numPr>
          <w:ilvl w:val="0"/>
          <w:numId w:val="39"/>
        </w:numPr>
        <w:jc w:val="both"/>
      </w:pPr>
      <w:r w:rsidRPr="00FC03EC">
        <w:t xml:space="preserve">Tunisia was celebrated as the Arab Spring's only success story but a decade later, democratic gains are eroding. </w:t>
      </w:r>
    </w:p>
    <w:p w14:paraId="5CA10C9C" w14:textId="0F1EEA68" w:rsidR="00FC03EC" w:rsidRDefault="00FC03EC" w:rsidP="00FC03EC">
      <w:pPr>
        <w:pStyle w:val="ListParagraph"/>
        <w:numPr>
          <w:ilvl w:val="0"/>
          <w:numId w:val="39"/>
        </w:numPr>
        <w:jc w:val="both"/>
      </w:pPr>
      <w:r w:rsidRPr="00FC03EC">
        <w:t>Mauritius and Botswana have been governance stars for decades, yet both are declining.</w:t>
      </w:r>
      <w:r w:rsidR="009A5744">
        <w:t xml:space="preserve"> T</w:t>
      </w:r>
      <w:r w:rsidR="009A5744" w:rsidRPr="00FC03EC">
        <w:t>here's evidence of institutional complacency</w:t>
      </w:r>
      <w:r w:rsidR="009A5744">
        <w:t xml:space="preserve"> in these countries</w:t>
      </w:r>
      <w:r w:rsidR="009A5744" w:rsidRPr="00FC03EC">
        <w:t xml:space="preserve"> after years of strong performance.</w:t>
      </w:r>
    </w:p>
    <w:p w14:paraId="4A1F0326" w14:textId="77777777" w:rsidR="00FC03EC" w:rsidRDefault="00FC03EC" w:rsidP="00FC03EC">
      <w:pPr>
        <w:pStyle w:val="ListParagraph"/>
        <w:numPr>
          <w:ilvl w:val="0"/>
          <w:numId w:val="39"/>
        </w:numPr>
        <w:jc w:val="both"/>
      </w:pPr>
      <w:r w:rsidRPr="00FC03EC">
        <w:t xml:space="preserve">In Tunisia and Mali, we're seeing democratic backsliding - erosion of civil liberties and consolidation of power. </w:t>
      </w:r>
    </w:p>
    <w:p w14:paraId="2B381C4B" w14:textId="77777777" w:rsidR="00FC03EC" w:rsidRDefault="00FC03EC" w:rsidP="00FC03EC">
      <w:pPr>
        <w:pStyle w:val="ListParagraph"/>
        <w:numPr>
          <w:ilvl w:val="0"/>
          <w:numId w:val="39"/>
        </w:numPr>
        <w:jc w:val="both"/>
      </w:pPr>
      <w:r w:rsidRPr="00FC03EC">
        <w:t xml:space="preserve">In the Sahel </w:t>
      </w:r>
      <w:r>
        <w:t>(</w:t>
      </w:r>
      <w:r w:rsidRPr="00FC03EC">
        <w:t>Mali and Burkina Faso</w:t>
      </w:r>
      <w:r>
        <w:t>)</w:t>
      </w:r>
      <w:r w:rsidRPr="00FC03EC">
        <w:t xml:space="preserve"> security has deteriorated dramatically. </w:t>
      </w:r>
    </w:p>
    <w:p w14:paraId="1C11888C" w14:textId="77777777" w:rsidR="00775961" w:rsidRDefault="00775961"/>
    <w:p w14:paraId="6809DA96" w14:textId="77777777" w:rsidR="007F24F3" w:rsidRDefault="00000000">
      <w:r>
        <w:rPr>
          <w:noProof/>
        </w:rPr>
        <w:drawing>
          <wp:inline distT="0" distB="0" distL="0" distR="0" wp14:anchorId="0C903838" wp14:editId="7C4DD3E6">
            <wp:extent cx="5942330" cy="3804557"/>
            <wp:effectExtent l="0" t="0" r="127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_change.png"/>
                    <pic:cNvPicPr/>
                  </pic:nvPicPr>
                  <pic:blipFill>
                    <a:blip r:embed="rId12"/>
                    <a:stretch>
                      <a:fillRect/>
                    </a:stretch>
                  </pic:blipFill>
                  <pic:spPr>
                    <a:xfrm>
                      <a:off x="0" y="0"/>
                      <a:ext cx="5978973" cy="3828018"/>
                    </a:xfrm>
                    <a:prstGeom prst="rect">
                      <a:avLst/>
                    </a:prstGeom>
                  </pic:spPr>
                </pic:pic>
              </a:graphicData>
            </a:graphic>
          </wp:inline>
        </w:drawing>
      </w:r>
    </w:p>
    <w:p w14:paraId="73A99ADB" w14:textId="570D574B" w:rsidR="00E51154" w:rsidRPr="00696A1B" w:rsidRDefault="00E51154">
      <w:pPr>
        <w:rPr>
          <w:b/>
          <w:bCs/>
        </w:rPr>
      </w:pPr>
      <w:r>
        <w:t xml:space="preserve">Figure 5: governance changes for all countries from </w:t>
      </w:r>
      <w:r w:rsidRPr="00775961">
        <w:rPr>
          <w:b/>
          <w:bCs/>
        </w:rPr>
        <w:t>2014</w:t>
      </w:r>
      <w:r>
        <w:t xml:space="preserve"> to </w:t>
      </w:r>
      <w:r w:rsidRPr="00775961">
        <w:rPr>
          <w:b/>
          <w:bCs/>
        </w:rPr>
        <w:t>2023</w:t>
      </w:r>
    </w:p>
    <w:p w14:paraId="524BAE95" w14:textId="77777777" w:rsidR="007F24F3" w:rsidRDefault="00000000">
      <w:pPr>
        <w:pStyle w:val="Heading1"/>
      </w:pPr>
      <w:r>
        <w:lastRenderedPageBreak/>
        <w:t>6. REGIONAL PERFORMANCE COMPARISON</w:t>
      </w:r>
    </w:p>
    <w:p w14:paraId="6A21C9BB" w14:textId="77777777" w:rsidR="00775961" w:rsidRDefault="00775961"/>
    <w:p w14:paraId="3C7572CE" w14:textId="7297D80F" w:rsidR="007F24F3" w:rsidRDefault="00000000" w:rsidP="00775961">
      <w:pPr>
        <w:jc w:val="both"/>
      </w:pPr>
      <w:r w:rsidRPr="00775961">
        <w:rPr>
          <w:b/>
          <w:bCs/>
        </w:rPr>
        <w:t>Figure 6</w:t>
      </w:r>
      <w:r>
        <w:t xml:space="preserve"> compares regional performance across all governance categories in 2023. This clustered bar chart reveals regional patterns and highlights which regions excel in specific governance dimensions. The comparison facilitates understanding of regional strengths and areas for targeted improvement.</w:t>
      </w:r>
      <w:r w:rsidR="004308FF">
        <w:t xml:space="preserve"> </w:t>
      </w:r>
      <w:r w:rsidR="004308FF" w:rsidRPr="004308FF">
        <w:t xml:space="preserve">Southern Africa leads at 54.6 average - driven by countries like Botswana, Namibia, and South Africa. </w:t>
      </w:r>
      <w:r w:rsidR="004308FF">
        <w:t>This</w:t>
      </w:r>
      <w:r w:rsidR="004308FF" w:rsidRPr="004308FF">
        <w:t xml:space="preserve"> regional success</w:t>
      </w:r>
      <w:r w:rsidR="004308FF">
        <w:t xml:space="preserve"> can be explained by three factors:</w:t>
      </w:r>
    </w:p>
    <w:p w14:paraId="467C63FD" w14:textId="36852C20" w:rsidR="004308FF" w:rsidRDefault="004308FF" w:rsidP="004308FF">
      <w:pPr>
        <w:pStyle w:val="ListParagraph"/>
        <w:numPr>
          <w:ilvl w:val="0"/>
          <w:numId w:val="38"/>
        </w:numPr>
        <w:jc w:val="both"/>
      </w:pPr>
      <w:r>
        <w:t xml:space="preserve">The SADC - Southern African Development Community - has promoted regional integration and democratic norms. Regional institutions matter. </w:t>
      </w:r>
    </w:p>
    <w:p w14:paraId="2D14B162" w14:textId="0DE63AA6" w:rsidR="004308FF" w:rsidRDefault="004308FF" w:rsidP="004308FF">
      <w:pPr>
        <w:pStyle w:val="ListParagraph"/>
        <w:numPr>
          <w:ilvl w:val="0"/>
          <w:numId w:val="38"/>
        </w:numPr>
        <w:jc w:val="both"/>
      </w:pPr>
      <w:r>
        <w:t xml:space="preserve">This region benefited from negotiated transitions from colonialism and apartheid that, while imperfect, built stronger institutions than elsewhere. </w:t>
      </w:r>
    </w:p>
    <w:p w14:paraId="6AD7C029" w14:textId="4B2854AF" w:rsidR="004308FF" w:rsidRDefault="004308FF" w:rsidP="004308FF">
      <w:pPr>
        <w:pStyle w:val="ListParagraph"/>
        <w:numPr>
          <w:ilvl w:val="0"/>
          <w:numId w:val="38"/>
        </w:numPr>
        <w:jc w:val="both"/>
      </w:pPr>
      <w:r>
        <w:t>There's been relative peace - conflicts have been less frequent and less severe.</w:t>
      </w:r>
    </w:p>
    <w:p w14:paraId="27432D74" w14:textId="16BA9C6B" w:rsidR="004308FF" w:rsidRDefault="004308FF" w:rsidP="004308FF">
      <w:pPr>
        <w:jc w:val="both"/>
      </w:pPr>
      <w:r w:rsidRPr="004308FF">
        <w:t xml:space="preserve">At the other extreme, </w:t>
      </w:r>
      <w:r w:rsidRPr="004308FF">
        <w:rPr>
          <w:b/>
          <w:bCs/>
        </w:rPr>
        <w:t>Central Africa</w:t>
      </w:r>
      <w:r w:rsidRPr="004308FF">
        <w:t xml:space="preserve"> averages just 39.7 - a full 15 points lower. This region has been plagued by persistent conflicts, resource curse dynamics especially around oil and minerals, and some of Africa's most entrenched autocracies.</w:t>
      </w:r>
    </w:p>
    <w:p w14:paraId="3953F951" w14:textId="3EE32B28" w:rsidR="004308FF" w:rsidRDefault="004308FF" w:rsidP="004308FF">
      <w:pPr>
        <w:jc w:val="both"/>
      </w:pPr>
      <w:r w:rsidRPr="004308FF">
        <w:rPr>
          <w:b/>
          <w:bCs/>
        </w:rPr>
        <w:t>East Africa</w:t>
      </w:r>
      <w:r w:rsidRPr="004308FF">
        <w:t xml:space="preserve"> is fascinating because it shows the highest variation - it includes both </w:t>
      </w:r>
      <w:r w:rsidRPr="004308FF">
        <w:rPr>
          <w:b/>
          <w:bCs/>
        </w:rPr>
        <w:t>Seychelles</w:t>
      </w:r>
      <w:r w:rsidRPr="004308FF">
        <w:t xml:space="preserve"> at 75.3 and </w:t>
      </w:r>
      <w:r w:rsidRPr="004308FF">
        <w:rPr>
          <w:b/>
          <w:bCs/>
        </w:rPr>
        <w:t>South Sudan</w:t>
      </w:r>
      <w:r w:rsidRPr="004308FF">
        <w:t xml:space="preserve"> at 19.0. This tells us region isn't destiny - individual country circumstances matter enormously.</w:t>
      </w:r>
    </w:p>
    <w:p w14:paraId="68CECCCD" w14:textId="3D6C230E" w:rsidR="004308FF" w:rsidRDefault="004308FF" w:rsidP="004308FF">
      <w:pPr>
        <w:jc w:val="both"/>
      </w:pPr>
      <w:r>
        <w:t xml:space="preserve">It can be concluded that </w:t>
      </w:r>
      <w:r w:rsidRPr="0025100C">
        <w:rPr>
          <w:b/>
          <w:bCs/>
        </w:rPr>
        <w:t>regional cooperation and integration correlate with better governance</w:t>
      </w:r>
      <w:r w:rsidRPr="004308FF">
        <w:t xml:space="preserve">. </w:t>
      </w:r>
      <w:r w:rsidRPr="0025100C">
        <w:rPr>
          <w:b/>
          <w:bCs/>
        </w:rPr>
        <w:t>Regions that work together govern better</w:t>
      </w:r>
      <w:r w:rsidRPr="004308FF">
        <w:t>.</w:t>
      </w:r>
    </w:p>
    <w:p w14:paraId="491D19AD" w14:textId="77777777" w:rsidR="00775961" w:rsidRDefault="00775961" w:rsidP="00775961">
      <w:pPr>
        <w:jc w:val="both"/>
      </w:pPr>
    </w:p>
    <w:p w14:paraId="00C2192A" w14:textId="77777777" w:rsidR="007F24F3" w:rsidRDefault="00000000">
      <w:r>
        <w:rPr>
          <w:noProof/>
        </w:rPr>
        <w:drawing>
          <wp:inline distT="0" distB="0" distL="0" distR="0" wp14:anchorId="31580286" wp14:editId="743856B9">
            <wp:extent cx="5940732" cy="2715986"/>
            <wp:effectExtent l="0" t="0" r="317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_regional.png"/>
                    <pic:cNvPicPr/>
                  </pic:nvPicPr>
                  <pic:blipFill>
                    <a:blip r:embed="rId13"/>
                    <a:stretch>
                      <a:fillRect/>
                    </a:stretch>
                  </pic:blipFill>
                  <pic:spPr>
                    <a:xfrm>
                      <a:off x="0" y="0"/>
                      <a:ext cx="5950581" cy="2720489"/>
                    </a:xfrm>
                    <a:prstGeom prst="rect">
                      <a:avLst/>
                    </a:prstGeom>
                  </pic:spPr>
                </pic:pic>
              </a:graphicData>
            </a:graphic>
          </wp:inline>
        </w:drawing>
      </w:r>
    </w:p>
    <w:p w14:paraId="314C08F2" w14:textId="76066125" w:rsidR="007F24F3" w:rsidRDefault="00E51154">
      <w:r>
        <w:t>Figure 6: regional performance across all governance categories in 2023</w:t>
      </w:r>
    </w:p>
    <w:p w14:paraId="4CFFF798" w14:textId="77777777" w:rsidR="007F24F3" w:rsidRDefault="00000000">
      <w:pPr>
        <w:pStyle w:val="Heading1"/>
      </w:pPr>
      <w:r>
        <w:lastRenderedPageBreak/>
        <w:t>7. CATEGORY CORRELATION ANALYSIS</w:t>
      </w:r>
    </w:p>
    <w:p w14:paraId="20F818F3" w14:textId="77777777" w:rsidR="004B0919" w:rsidRDefault="004B0919"/>
    <w:p w14:paraId="11E291D5" w14:textId="44A801AC" w:rsidR="00004318" w:rsidRDefault="00000000" w:rsidP="00004318">
      <w:pPr>
        <w:jc w:val="both"/>
      </w:pPr>
      <w:r w:rsidRPr="004B0919">
        <w:rPr>
          <w:b/>
          <w:bCs/>
        </w:rPr>
        <w:t>Figure 7</w:t>
      </w:r>
      <w:r>
        <w:t xml:space="preserve"> presents scatter plots examining the relationship between each main category and overall governance scores in 2023. The correlation coefficients</w:t>
      </w:r>
      <w:r w:rsidR="00004318">
        <w:t xml:space="preserve"> (</w:t>
      </w:r>
      <w:r w:rsidR="00004318" w:rsidRPr="00004318">
        <w:t>shown in each title</w:t>
      </w:r>
      <w:r w:rsidR="00004318">
        <w:t>)</w:t>
      </w:r>
      <w:r w:rsidR="00004318" w:rsidRPr="00004318">
        <w:t xml:space="preserve"> range from 0.88 to 0.94.</w:t>
      </w:r>
      <w:r>
        <w:t xml:space="preserve"> </w:t>
      </w:r>
      <w:r w:rsidR="00004318">
        <w:t xml:space="preserve">They </w:t>
      </w:r>
      <w:r>
        <w:t xml:space="preserve">quantify the strength of these relationships, while trend lines visualize the associations. </w:t>
      </w:r>
      <w:r w:rsidRPr="00D53D49">
        <w:rPr>
          <w:b/>
          <w:bCs/>
        </w:rPr>
        <w:t>These correlations indicate which governance dimensions most strongly influence overall performance</w:t>
      </w:r>
      <w:r>
        <w:t>.</w:t>
      </w:r>
      <w:r w:rsidR="00004318">
        <w:t xml:space="preserve"> Overall, we see very strong correlations (0.88</w:t>
      </w:r>
      <w:r w:rsidR="006B7779">
        <w:t xml:space="preserve"> </w:t>
      </w:r>
      <w:r w:rsidR="00004318">
        <w:t>-</w:t>
      </w:r>
      <w:r w:rsidR="006B7779">
        <w:t xml:space="preserve"> </w:t>
      </w:r>
      <w:r w:rsidR="00004318">
        <w:t xml:space="preserve">0.94) across all categories. This suggests an </w:t>
      </w:r>
      <w:r w:rsidR="00004318" w:rsidRPr="00D53D49">
        <w:rPr>
          <w:b/>
          <w:bCs/>
        </w:rPr>
        <w:t>interconnected system</w:t>
      </w:r>
      <w:r w:rsidR="00004318">
        <w:t xml:space="preserve"> – no category can improve </w:t>
      </w:r>
      <w:r w:rsidR="00D53D49">
        <w:t>governance</w:t>
      </w:r>
      <w:r w:rsidR="00004318">
        <w:t xml:space="preserve"> in isolation. </w:t>
      </w:r>
      <w:r w:rsidR="00D53D49">
        <w:t>An i</w:t>
      </w:r>
      <w:r w:rsidR="00004318">
        <w:t xml:space="preserve">ntegrated reform approach encompassing all categories is necessary. </w:t>
      </w:r>
      <w:r w:rsidR="00004318" w:rsidRPr="00004318">
        <w:rPr>
          <w:b/>
          <w:bCs/>
        </w:rPr>
        <w:t>Security &amp; Rule of Law</w:t>
      </w:r>
      <w:r w:rsidR="00004318">
        <w:t xml:space="preserve"> may be foundational for good governance.</w:t>
      </w:r>
      <w:r w:rsidR="008602B1">
        <w:t xml:space="preserve"> </w:t>
      </w:r>
      <w:r w:rsidR="00D53D49">
        <w:t>This means i</w:t>
      </w:r>
      <w:r w:rsidR="008602B1" w:rsidRPr="008602B1">
        <w:t xml:space="preserve">t's hard to achieve good governance in other areas if </w:t>
      </w:r>
      <w:r w:rsidR="008602B1">
        <w:t>a country</w:t>
      </w:r>
      <w:r w:rsidR="008602B1" w:rsidRPr="008602B1">
        <w:t xml:space="preserve"> do</w:t>
      </w:r>
      <w:r w:rsidR="008602B1">
        <w:t>es not</w:t>
      </w:r>
      <w:r w:rsidR="008602B1" w:rsidRPr="008602B1">
        <w:t xml:space="preserve"> have basic security and rule of law.</w:t>
      </w:r>
      <w:r w:rsidR="008E1A4C">
        <w:t xml:space="preserve"> </w:t>
      </w:r>
      <w:r w:rsidR="008E1A4C" w:rsidRPr="008E1A4C">
        <w:t xml:space="preserve">The policy implication is </w:t>
      </w:r>
      <w:r w:rsidR="00D53D49">
        <w:t xml:space="preserve">therefore </w:t>
      </w:r>
      <w:r w:rsidR="008E1A4C" w:rsidRPr="008E1A4C">
        <w:t>clear</w:t>
      </w:r>
      <w:r w:rsidR="008E1A4C">
        <w:t xml:space="preserve"> –</w:t>
      </w:r>
      <w:r w:rsidR="008E1A4C" w:rsidRPr="008E1A4C">
        <w:t xml:space="preserve"> </w:t>
      </w:r>
      <w:r w:rsidR="008E1A4C">
        <w:t>a country</w:t>
      </w:r>
      <w:r w:rsidR="008E1A4C" w:rsidRPr="008E1A4C">
        <w:t xml:space="preserve"> need</w:t>
      </w:r>
      <w:r w:rsidR="008E1A4C">
        <w:t>s</w:t>
      </w:r>
      <w:r w:rsidR="008E1A4C" w:rsidRPr="008E1A4C">
        <w:t xml:space="preserve"> integrated reform efforts. You can't fix corruption without also improving judicial systems. You can't improve business environment without also investing in infrastructure. It's all connected.</w:t>
      </w:r>
    </w:p>
    <w:p w14:paraId="0FE60535" w14:textId="77777777" w:rsidR="00955BB6" w:rsidRDefault="00955BB6"/>
    <w:p w14:paraId="76D49D42" w14:textId="77777777" w:rsidR="007F24F3" w:rsidRDefault="00000000">
      <w:r>
        <w:rPr>
          <w:noProof/>
        </w:rPr>
        <w:drawing>
          <wp:inline distT="0" distB="0" distL="0" distR="0" wp14:anchorId="0CBD01FC" wp14:editId="7F846E36">
            <wp:extent cx="5941580" cy="4283529"/>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_correlation.png"/>
                    <pic:cNvPicPr/>
                  </pic:nvPicPr>
                  <pic:blipFill>
                    <a:blip r:embed="rId14"/>
                    <a:stretch>
                      <a:fillRect/>
                    </a:stretch>
                  </pic:blipFill>
                  <pic:spPr>
                    <a:xfrm>
                      <a:off x="0" y="0"/>
                      <a:ext cx="5961772" cy="4298087"/>
                    </a:xfrm>
                    <a:prstGeom prst="rect">
                      <a:avLst/>
                    </a:prstGeom>
                  </pic:spPr>
                </pic:pic>
              </a:graphicData>
            </a:graphic>
          </wp:inline>
        </w:drawing>
      </w:r>
    </w:p>
    <w:p w14:paraId="55A1D833" w14:textId="411C71AD" w:rsidR="007F24F3" w:rsidRDefault="00E51154">
      <w:r>
        <w:t>Figure 7: relationship between each main category and overall governance scores in 2023</w:t>
      </w:r>
    </w:p>
    <w:p w14:paraId="3CEFF3AB" w14:textId="77777777" w:rsidR="007F24F3" w:rsidRDefault="00000000">
      <w:pPr>
        <w:pStyle w:val="Heading1"/>
      </w:pPr>
      <w:r>
        <w:lastRenderedPageBreak/>
        <w:t>8. TOP AND BOTTOM COUNTRY TRENDS</w:t>
      </w:r>
    </w:p>
    <w:p w14:paraId="09C43EB0" w14:textId="77777777" w:rsidR="00955BB6" w:rsidRDefault="00955BB6"/>
    <w:p w14:paraId="254ADB0D" w14:textId="77777777" w:rsidR="00AA274C" w:rsidRDefault="00000000" w:rsidP="0087242E">
      <w:pPr>
        <w:jc w:val="both"/>
      </w:pPr>
      <w:r w:rsidRPr="00955BB6">
        <w:rPr>
          <w:b/>
          <w:bCs/>
        </w:rPr>
        <w:t>Figure 8</w:t>
      </w:r>
      <w:r>
        <w:t xml:space="preserve"> tracks the governance trajectories of the top 5 and bottom 5 performing countries from </w:t>
      </w:r>
      <w:r w:rsidRPr="00D95D5B">
        <w:rPr>
          <w:b/>
          <w:bCs/>
        </w:rPr>
        <w:t>2014</w:t>
      </w:r>
      <w:r>
        <w:t xml:space="preserve"> to </w:t>
      </w:r>
      <w:r w:rsidRPr="00D95D5B">
        <w:rPr>
          <w:b/>
          <w:bCs/>
        </w:rPr>
        <w:t>2023</w:t>
      </w:r>
      <w:r>
        <w:t>. These trend lines reveal</w:t>
      </w:r>
      <w:r w:rsidR="00AA274C">
        <w:t xml:space="preserve"> the following:</w:t>
      </w:r>
    </w:p>
    <w:p w14:paraId="453640F7" w14:textId="08D54955" w:rsidR="00AA274C" w:rsidRDefault="00696A1B" w:rsidP="000B3825">
      <w:pPr>
        <w:pStyle w:val="ListParagraph"/>
        <w:numPr>
          <w:ilvl w:val="0"/>
          <w:numId w:val="35"/>
        </w:numPr>
        <w:spacing w:line="240" w:lineRule="auto"/>
        <w:jc w:val="both"/>
      </w:pPr>
      <w:r>
        <w:t>Whether high performers maintain their positions: Mautitius, Botswana and Cabo Verde</w:t>
      </w:r>
      <w:r w:rsidR="000B3825">
        <w:t xml:space="preserve"> </w:t>
      </w:r>
      <w:r>
        <w:t xml:space="preserve">have witnessed declines while Seychelles has seen significant improvement in governance. </w:t>
      </w:r>
      <w:r w:rsidR="00F0204A">
        <w:t xml:space="preserve">This shows that </w:t>
      </w:r>
      <w:r w:rsidR="00F0204A" w:rsidRPr="00F0204A">
        <w:t xml:space="preserve">governance gains aren't permanent. Even strong performers can </w:t>
      </w:r>
      <w:r w:rsidR="00F0204A">
        <w:t>fall short</w:t>
      </w:r>
      <w:r w:rsidR="00F0204A" w:rsidRPr="00F0204A">
        <w:t xml:space="preserve"> without constant vigilance and renewal.</w:t>
      </w:r>
    </w:p>
    <w:p w14:paraId="09FC6D0E" w14:textId="77777777" w:rsidR="000B3825" w:rsidRDefault="000B3825" w:rsidP="000B3825">
      <w:pPr>
        <w:pStyle w:val="ListParagraph"/>
        <w:spacing w:line="240" w:lineRule="auto"/>
        <w:jc w:val="both"/>
      </w:pPr>
    </w:p>
    <w:p w14:paraId="7376B171" w14:textId="27BB3A48" w:rsidR="000B3825" w:rsidRDefault="00696A1B" w:rsidP="000B3825">
      <w:pPr>
        <w:pStyle w:val="ListParagraph"/>
        <w:numPr>
          <w:ilvl w:val="0"/>
          <w:numId w:val="35"/>
        </w:numPr>
        <w:spacing w:line="240" w:lineRule="auto"/>
        <w:jc w:val="both"/>
      </w:pPr>
      <w:r>
        <w:t>Whether struggling countries show improvement</w:t>
      </w:r>
      <w:r w:rsidR="00F0204A">
        <w:t>:</w:t>
      </w:r>
      <w:r>
        <w:t xml:space="preserve"> </w:t>
      </w:r>
      <w:r w:rsidR="00F0204A" w:rsidRPr="00F0204A">
        <w:t>Somalia shows that even countries</w:t>
      </w:r>
      <w:r w:rsidR="000B3825">
        <w:t xml:space="preserve"> </w:t>
      </w:r>
      <w:r w:rsidR="00F0204A" w:rsidRPr="00F0204A">
        <w:t>emerging from complete state failure can make progress. Federal government</w:t>
      </w:r>
      <w:r w:rsidR="000B3825">
        <w:t xml:space="preserve"> </w:t>
      </w:r>
      <w:r w:rsidR="00F0204A" w:rsidRPr="00F0204A">
        <w:t>formation, security sector development, and international support combined to enable</w:t>
      </w:r>
      <w:r w:rsidR="000B3825">
        <w:t xml:space="preserve"> </w:t>
      </w:r>
      <w:r w:rsidR="00F0204A" w:rsidRPr="00F0204A">
        <w:t>recovery. They're still low in absolute terms at 25.5, but the trajectory is encouraging.</w:t>
      </w:r>
    </w:p>
    <w:p w14:paraId="7E690F28" w14:textId="77777777" w:rsidR="000B3825" w:rsidRDefault="000B3825" w:rsidP="000B3825">
      <w:pPr>
        <w:pStyle w:val="ListParagraph"/>
        <w:spacing w:line="240" w:lineRule="auto"/>
        <w:jc w:val="both"/>
      </w:pPr>
    </w:p>
    <w:p w14:paraId="5C63CA79" w14:textId="03FC3AD1" w:rsidR="007F24F3" w:rsidRDefault="00696A1B" w:rsidP="000B3825">
      <w:pPr>
        <w:pStyle w:val="ListParagraph"/>
        <w:numPr>
          <w:ilvl w:val="0"/>
          <w:numId w:val="35"/>
        </w:numPr>
        <w:spacing w:line="240" w:lineRule="auto"/>
        <w:jc w:val="both"/>
      </w:pPr>
      <w:r>
        <w:t>The stability or volatility of governance scores over time</w:t>
      </w:r>
      <w:r w:rsidR="003E7A89">
        <w:t>: G</w:t>
      </w:r>
      <w:r w:rsidR="003E7A89" w:rsidRPr="003E7A89">
        <w:t xml:space="preserve">overnance isn't fixed </w:t>
      </w:r>
      <w:r w:rsidR="000B3825">
        <w:t xml:space="preserve">and </w:t>
      </w:r>
      <w:r w:rsidR="000B3825" w:rsidRPr="000B3825">
        <w:t>governance is not destiny</w:t>
      </w:r>
      <w:r w:rsidR="000B3825">
        <w:t xml:space="preserve"> </w:t>
      </w:r>
      <w:r w:rsidR="003E7A89" w:rsidRPr="003E7A89">
        <w:t>- countries can transform</w:t>
      </w:r>
      <w:r w:rsidR="003E7A89">
        <w:t>. There are d</w:t>
      </w:r>
      <w:r w:rsidR="003E7A89" w:rsidRPr="003E7A89">
        <w:t>ifferent pathways</w:t>
      </w:r>
      <w:r w:rsidR="003E7A89">
        <w:t xml:space="preserve"> to good governance</w:t>
      </w:r>
      <w:r w:rsidR="003E7A89" w:rsidRPr="003E7A89">
        <w:t>: democracy (Gambia), post-conflict (Somalia), incremental reform (Morocco)</w:t>
      </w:r>
      <w:r w:rsidR="0084759F">
        <w:t>.</w:t>
      </w:r>
    </w:p>
    <w:p w14:paraId="7A66D2AC" w14:textId="77777777" w:rsidR="00AA274C" w:rsidRDefault="00AA274C" w:rsidP="0087242E">
      <w:pPr>
        <w:jc w:val="both"/>
      </w:pPr>
    </w:p>
    <w:p w14:paraId="7B5B7E9D" w14:textId="77777777" w:rsidR="007F24F3" w:rsidRDefault="00000000">
      <w:r>
        <w:rPr>
          <w:noProof/>
        </w:rPr>
        <w:drawing>
          <wp:inline distT="0" distB="0" distL="0" distR="0" wp14:anchorId="46857571" wp14:editId="67550A77">
            <wp:extent cx="6208693" cy="2737485"/>
            <wp:effectExtent l="0" t="0" r="190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8_top_bottom_trends.png"/>
                    <pic:cNvPicPr/>
                  </pic:nvPicPr>
                  <pic:blipFill>
                    <a:blip r:embed="rId15"/>
                    <a:stretch>
                      <a:fillRect/>
                    </a:stretch>
                  </pic:blipFill>
                  <pic:spPr>
                    <a:xfrm>
                      <a:off x="0" y="0"/>
                      <a:ext cx="6220386" cy="2742640"/>
                    </a:xfrm>
                    <a:prstGeom prst="rect">
                      <a:avLst/>
                    </a:prstGeom>
                  </pic:spPr>
                </pic:pic>
              </a:graphicData>
            </a:graphic>
          </wp:inline>
        </w:drawing>
      </w:r>
    </w:p>
    <w:p w14:paraId="1302C0DA" w14:textId="1F776A51" w:rsidR="00E51154" w:rsidRDefault="00E51154">
      <w:r>
        <w:t>Figure 8: governance trajectories top 5 and bottom 5 performing countries from 2014 to 2023</w:t>
      </w:r>
    </w:p>
    <w:p w14:paraId="1B9DB24F" w14:textId="77777777" w:rsidR="000B3825" w:rsidRDefault="000B3825"/>
    <w:p w14:paraId="487DFA28" w14:textId="77777777" w:rsidR="007F24F3" w:rsidRDefault="00000000">
      <w:pPr>
        <w:pStyle w:val="Heading1"/>
      </w:pPr>
      <w:r>
        <w:lastRenderedPageBreak/>
        <w:t>DETAILED ANALYSIS AND INSIGHTS</w:t>
      </w:r>
    </w:p>
    <w:p w14:paraId="23F2A966" w14:textId="77777777" w:rsidR="007F24F3" w:rsidRDefault="00000000">
      <w:pPr>
        <w:pStyle w:val="Heading2"/>
      </w:pPr>
      <w:r>
        <w:t>1. Temporal Dynamics (2014-2023)</w:t>
      </w:r>
    </w:p>
    <w:p w14:paraId="2F597F81" w14:textId="77777777" w:rsidR="007F24F3" w:rsidRDefault="00000000">
      <w:r>
        <w:t>Continental Trend:</w:t>
      </w:r>
    </w:p>
    <w:p w14:paraId="590D6580" w14:textId="77777777" w:rsidR="00656F94" w:rsidRDefault="00000000" w:rsidP="00656F94">
      <w:pPr>
        <w:pStyle w:val="ListParagraph"/>
        <w:numPr>
          <w:ilvl w:val="1"/>
          <w:numId w:val="29"/>
        </w:numPr>
      </w:pPr>
      <w:r>
        <w:t xml:space="preserve">Overall governance score changed from </w:t>
      </w:r>
      <w:r w:rsidRPr="00656F94">
        <w:rPr>
          <w:b/>
          <w:bCs/>
        </w:rPr>
        <w:t>48.3</w:t>
      </w:r>
      <w:r>
        <w:t xml:space="preserve"> (2014) to </w:t>
      </w:r>
      <w:r w:rsidRPr="00656F94">
        <w:rPr>
          <w:b/>
          <w:bCs/>
        </w:rPr>
        <w:t>49.3</w:t>
      </w:r>
      <w:r>
        <w:t xml:space="preserve"> (2023)</w:t>
      </w:r>
    </w:p>
    <w:p w14:paraId="17AA6A5B" w14:textId="77777777" w:rsidR="00656F94" w:rsidRDefault="00000000" w:rsidP="00656F94">
      <w:pPr>
        <w:pStyle w:val="ListParagraph"/>
        <w:numPr>
          <w:ilvl w:val="1"/>
          <w:numId w:val="29"/>
        </w:numPr>
      </w:pPr>
      <w:r>
        <w:t xml:space="preserve">Net change: </w:t>
      </w:r>
      <w:r w:rsidRPr="009D2352">
        <w:rPr>
          <w:b/>
          <w:bCs/>
        </w:rPr>
        <w:t>0.97</w:t>
      </w:r>
      <w:r>
        <w:t xml:space="preserve"> points</w:t>
      </w:r>
    </w:p>
    <w:p w14:paraId="6E7F2E81" w14:textId="77777777" w:rsidR="00656F94" w:rsidRDefault="00000000" w:rsidP="00656F94">
      <w:pPr>
        <w:pStyle w:val="ListParagraph"/>
        <w:numPr>
          <w:ilvl w:val="1"/>
          <w:numId w:val="29"/>
        </w:numPr>
      </w:pPr>
      <w:r>
        <w:t xml:space="preserve">Countries improving: </w:t>
      </w:r>
      <w:r w:rsidRPr="009D2352">
        <w:rPr>
          <w:b/>
          <w:bCs/>
        </w:rPr>
        <w:t>33</w:t>
      </w:r>
      <w:r>
        <w:t xml:space="preserve"> (61.1%)</w:t>
      </w:r>
    </w:p>
    <w:p w14:paraId="177D3C5A" w14:textId="579A0EDD" w:rsidR="007F24F3" w:rsidRDefault="00000000" w:rsidP="00656F94">
      <w:pPr>
        <w:pStyle w:val="ListParagraph"/>
        <w:numPr>
          <w:ilvl w:val="1"/>
          <w:numId w:val="29"/>
        </w:numPr>
      </w:pPr>
      <w:r>
        <w:t xml:space="preserve">Countries declining: </w:t>
      </w:r>
      <w:r w:rsidRPr="009D2352">
        <w:rPr>
          <w:b/>
          <w:bCs/>
        </w:rPr>
        <w:t>21</w:t>
      </w:r>
      <w:r>
        <w:t xml:space="preserve"> (38.9%)</w:t>
      </w:r>
    </w:p>
    <w:p w14:paraId="3A80FCEC" w14:textId="77777777" w:rsidR="007F24F3" w:rsidRDefault="00000000">
      <w:pPr>
        <w:pStyle w:val="Heading2"/>
      </w:pPr>
      <w:r>
        <w:t>2. Category-Specific Insights (2023)</w:t>
      </w:r>
    </w:p>
    <w:p w14:paraId="57638112" w14:textId="650A5FEC" w:rsidR="005920EF" w:rsidRDefault="00000000">
      <w:r>
        <w:t>Strongest Category (Continental Average):</w:t>
      </w:r>
      <w:r>
        <w:br/>
        <w:t xml:space="preserve">• HUMAN DEVELOPMENT: </w:t>
      </w:r>
      <w:r w:rsidRPr="009D2352">
        <w:rPr>
          <w:b/>
          <w:bCs/>
        </w:rPr>
        <w:t>51.6</w:t>
      </w:r>
      <w:r>
        <w:br/>
      </w:r>
      <w:r>
        <w:br/>
        <w:t>Weakest Category (Continental Average):</w:t>
      </w:r>
      <w:r>
        <w:br/>
        <w:t xml:space="preserve">• SECURITY &amp; RULE OF LAW: </w:t>
      </w:r>
      <w:r w:rsidRPr="009D2352">
        <w:rPr>
          <w:b/>
          <w:bCs/>
        </w:rPr>
        <w:t>47.9</w:t>
      </w:r>
      <w:r>
        <w:br/>
      </w:r>
      <w:r>
        <w:br/>
        <w:t>Category Variability (Standard Deviation):</w:t>
      </w:r>
      <w:r w:rsidR="005920EF">
        <w:t xml:space="preserve"> These standard deviations indicate by how much these categories differ from the continental scores on average.</w:t>
      </w:r>
    </w:p>
    <w:p w14:paraId="153A53A5" w14:textId="77777777" w:rsidR="00656F94" w:rsidRDefault="00000000" w:rsidP="00656F94">
      <w:pPr>
        <w:pStyle w:val="ListParagraph"/>
        <w:numPr>
          <w:ilvl w:val="0"/>
          <w:numId w:val="33"/>
        </w:numPr>
      </w:pPr>
      <w:r>
        <w:t xml:space="preserve">SECURITY &amp; RULE OF LAW: </w:t>
      </w:r>
      <w:r w:rsidRPr="009D2352">
        <w:rPr>
          <w:b/>
          <w:bCs/>
        </w:rPr>
        <w:t>13.9</w:t>
      </w:r>
    </w:p>
    <w:p w14:paraId="0D41119A" w14:textId="77777777" w:rsidR="00656F94" w:rsidRDefault="00000000" w:rsidP="00656F94">
      <w:pPr>
        <w:pStyle w:val="ListParagraph"/>
        <w:numPr>
          <w:ilvl w:val="0"/>
          <w:numId w:val="33"/>
        </w:numPr>
      </w:pPr>
      <w:r>
        <w:t xml:space="preserve">PARTICIPATION, RIGHTS &amp; INCLUSION: </w:t>
      </w:r>
      <w:r w:rsidRPr="009D2352">
        <w:rPr>
          <w:b/>
          <w:bCs/>
        </w:rPr>
        <w:t>15.8</w:t>
      </w:r>
    </w:p>
    <w:p w14:paraId="195F66F5" w14:textId="77777777" w:rsidR="00656F94" w:rsidRDefault="00000000" w:rsidP="00656F94">
      <w:pPr>
        <w:pStyle w:val="ListParagraph"/>
        <w:numPr>
          <w:ilvl w:val="0"/>
          <w:numId w:val="33"/>
        </w:numPr>
      </w:pPr>
      <w:r>
        <w:t xml:space="preserve">FOUNDATIONS FOR ECONOMIC OPPORTUNITY: </w:t>
      </w:r>
      <w:r w:rsidRPr="009D2352">
        <w:rPr>
          <w:b/>
          <w:bCs/>
        </w:rPr>
        <w:t>12.6</w:t>
      </w:r>
    </w:p>
    <w:p w14:paraId="0173B45E" w14:textId="5F4B2D83" w:rsidR="007F24F3" w:rsidRDefault="00000000" w:rsidP="00656F94">
      <w:pPr>
        <w:pStyle w:val="ListParagraph"/>
        <w:numPr>
          <w:ilvl w:val="0"/>
          <w:numId w:val="33"/>
        </w:numPr>
      </w:pPr>
      <w:r>
        <w:t xml:space="preserve">HUMAN DEVELOPMENT: </w:t>
      </w:r>
      <w:r w:rsidRPr="009D2352">
        <w:rPr>
          <w:b/>
          <w:bCs/>
        </w:rPr>
        <w:t>11.4</w:t>
      </w:r>
      <w:r>
        <w:br/>
      </w:r>
    </w:p>
    <w:p w14:paraId="4EDB2A54" w14:textId="77777777" w:rsidR="007F24F3" w:rsidRDefault="00000000">
      <w:pPr>
        <w:pStyle w:val="Heading2"/>
      </w:pPr>
      <w:r>
        <w:t>3. Regional Performance Dynamics</w:t>
      </w:r>
    </w:p>
    <w:p w14:paraId="48F3AA7D" w14:textId="117C8355" w:rsidR="007F24F3" w:rsidRDefault="00000000">
      <w:r>
        <w:t>Regional Rankings by Average Change (2014-2023):</w:t>
      </w:r>
      <w:r w:rsidR="00255C95">
        <w:t xml:space="preserve"> The regions have seen some improvements over the decade under assessment except Southern Africa.</w:t>
      </w:r>
    </w:p>
    <w:p w14:paraId="46E057C6" w14:textId="0A1D0175" w:rsidR="007F24F3" w:rsidRDefault="00000000" w:rsidP="00656F94">
      <w:pPr>
        <w:pStyle w:val="ListNumber"/>
        <w:numPr>
          <w:ilvl w:val="0"/>
          <w:numId w:val="32"/>
        </w:numPr>
      </w:pPr>
      <w:r>
        <w:t xml:space="preserve">West Africa: </w:t>
      </w:r>
      <w:r w:rsidRPr="009D2352">
        <w:rPr>
          <w:b/>
          <w:bCs/>
        </w:rPr>
        <w:t>+1.49</w:t>
      </w:r>
      <w:r>
        <w:t xml:space="preserve"> points</w:t>
      </w:r>
    </w:p>
    <w:p w14:paraId="27942305" w14:textId="01728368" w:rsidR="007F24F3" w:rsidRDefault="00000000" w:rsidP="00656F94">
      <w:pPr>
        <w:pStyle w:val="ListNumber"/>
        <w:numPr>
          <w:ilvl w:val="0"/>
          <w:numId w:val="32"/>
        </w:numPr>
      </w:pPr>
      <w:r>
        <w:t xml:space="preserve">East Africa: </w:t>
      </w:r>
      <w:r w:rsidRPr="009D2352">
        <w:rPr>
          <w:b/>
          <w:bCs/>
        </w:rPr>
        <w:t>+1.35</w:t>
      </w:r>
      <w:r>
        <w:t xml:space="preserve"> points</w:t>
      </w:r>
    </w:p>
    <w:p w14:paraId="7910335B" w14:textId="4234FD6C" w:rsidR="007F24F3" w:rsidRDefault="00000000" w:rsidP="00656F94">
      <w:pPr>
        <w:pStyle w:val="ListNumber"/>
        <w:numPr>
          <w:ilvl w:val="0"/>
          <w:numId w:val="32"/>
        </w:numPr>
      </w:pPr>
      <w:r>
        <w:t xml:space="preserve">North Africa: </w:t>
      </w:r>
      <w:r w:rsidRPr="009D2352">
        <w:rPr>
          <w:b/>
          <w:bCs/>
        </w:rPr>
        <w:t>+1.22</w:t>
      </w:r>
      <w:r>
        <w:t xml:space="preserve"> points</w:t>
      </w:r>
    </w:p>
    <w:p w14:paraId="7D8F2144" w14:textId="7CF95984" w:rsidR="007F24F3" w:rsidRDefault="00000000" w:rsidP="00656F94">
      <w:pPr>
        <w:pStyle w:val="ListNumber"/>
        <w:numPr>
          <w:ilvl w:val="0"/>
          <w:numId w:val="32"/>
        </w:numPr>
      </w:pPr>
      <w:r>
        <w:t xml:space="preserve">Central Africa: </w:t>
      </w:r>
      <w:r w:rsidRPr="009D2352">
        <w:rPr>
          <w:b/>
          <w:bCs/>
        </w:rPr>
        <w:t>+0.61</w:t>
      </w:r>
      <w:r>
        <w:t xml:space="preserve"> points</w:t>
      </w:r>
    </w:p>
    <w:p w14:paraId="76FC2D9A" w14:textId="40DBD78B" w:rsidR="007F24F3" w:rsidRDefault="00000000" w:rsidP="00656F94">
      <w:pPr>
        <w:pStyle w:val="ListNumber"/>
        <w:numPr>
          <w:ilvl w:val="0"/>
          <w:numId w:val="32"/>
        </w:numPr>
      </w:pPr>
      <w:r>
        <w:t xml:space="preserve">Southern Africa: </w:t>
      </w:r>
      <w:r w:rsidRPr="009D2352">
        <w:rPr>
          <w:b/>
          <w:bCs/>
          <w:color w:val="EE0000"/>
        </w:rPr>
        <w:t>-0.09</w:t>
      </w:r>
      <w:r w:rsidRPr="009D2352">
        <w:rPr>
          <w:color w:val="EE0000"/>
        </w:rPr>
        <w:t xml:space="preserve"> </w:t>
      </w:r>
      <w:r>
        <w:t>points</w:t>
      </w:r>
    </w:p>
    <w:p w14:paraId="436E6F8C" w14:textId="77777777" w:rsidR="007F24F3" w:rsidRDefault="00000000">
      <w:pPr>
        <w:pStyle w:val="Heading2"/>
      </w:pPr>
      <w:r>
        <w:t>4. Notable Patterns and Observations</w:t>
      </w:r>
    </w:p>
    <w:p w14:paraId="6D5AF687" w14:textId="3601B908" w:rsidR="00656F94" w:rsidRDefault="00000000" w:rsidP="00656F94">
      <w:pPr>
        <w:pStyle w:val="ListParagraph"/>
        <w:numPr>
          <w:ilvl w:val="1"/>
          <w:numId w:val="31"/>
        </w:numPr>
        <w:spacing w:line="240" w:lineRule="auto"/>
      </w:pPr>
      <w:r>
        <w:t xml:space="preserve">The correlation between </w:t>
      </w:r>
      <w:r w:rsidRPr="00656F94">
        <w:rPr>
          <w:b/>
          <w:bCs/>
        </w:rPr>
        <w:t>'Security &amp; Rule of Law'</w:t>
      </w:r>
      <w:r>
        <w:t xml:space="preserve"> and </w:t>
      </w:r>
      <w:r w:rsidRPr="00656F94">
        <w:rPr>
          <w:b/>
          <w:bCs/>
        </w:rPr>
        <w:t>'Overall Governance'</w:t>
      </w:r>
      <w:r>
        <w:t xml:space="preserve"> is </w:t>
      </w:r>
      <w:r w:rsidRPr="00656F94">
        <w:rPr>
          <w:b/>
          <w:bCs/>
        </w:rPr>
        <w:t>0.959</w:t>
      </w:r>
      <w:r>
        <w:t xml:space="preserve">, </w:t>
      </w:r>
      <w:r w:rsidR="00656F94">
        <w:t xml:space="preserve">indicating </w:t>
      </w:r>
      <w:r w:rsidR="00656F94" w:rsidRPr="00656F94">
        <w:rPr>
          <w:b/>
          <w:bCs/>
        </w:rPr>
        <w:t>strong</w:t>
      </w:r>
      <w:r w:rsidR="00656F94">
        <w:t xml:space="preserve"> relationship</w:t>
      </w:r>
    </w:p>
    <w:p w14:paraId="622D1E9B" w14:textId="77777777" w:rsidR="00656F94" w:rsidRDefault="00656F94" w:rsidP="00656F94">
      <w:pPr>
        <w:pStyle w:val="ListParagraph"/>
        <w:spacing w:line="240" w:lineRule="auto"/>
      </w:pPr>
    </w:p>
    <w:p w14:paraId="5292BBB1" w14:textId="77777777" w:rsidR="00656F94" w:rsidRPr="00656F94" w:rsidRDefault="00000000" w:rsidP="00656F94">
      <w:pPr>
        <w:pStyle w:val="ListParagraph"/>
        <w:numPr>
          <w:ilvl w:val="1"/>
          <w:numId w:val="31"/>
        </w:numPr>
        <w:spacing w:line="480" w:lineRule="auto"/>
      </w:pPr>
      <w:r w:rsidRPr="00656F94">
        <w:rPr>
          <w:b/>
          <w:bCs/>
        </w:rPr>
        <w:t>11</w:t>
      </w:r>
      <w:r>
        <w:t xml:space="preserve"> countries (20.4%) achieved governance scores above </w:t>
      </w:r>
      <w:r w:rsidRPr="00656F94">
        <w:rPr>
          <w:b/>
          <w:bCs/>
        </w:rPr>
        <w:t>60/100</w:t>
      </w:r>
    </w:p>
    <w:p w14:paraId="7EBA1869" w14:textId="1DBFC303" w:rsidR="007F24F3" w:rsidRDefault="00000000" w:rsidP="00656F94">
      <w:pPr>
        <w:pStyle w:val="ListParagraph"/>
        <w:numPr>
          <w:ilvl w:val="1"/>
          <w:numId w:val="31"/>
        </w:numPr>
        <w:spacing w:line="480" w:lineRule="auto"/>
      </w:pPr>
      <w:r w:rsidRPr="00656F94">
        <w:rPr>
          <w:b/>
          <w:bCs/>
        </w:rPr>
        <w:t xml:space="preserve">29 </w:t>
      </w:r>
      <w:r>
        <w:t xml:space="preserve">countries (53.7%) scored below </w:t>
      </w:r>
      <w:r w:rsidRPr="00656F94">
        <w:rPr>
          <w:b/>
          <w:bCs/>
        </w:rPr>
        <w:t>50/100</w:t>
      </w:r>
      <w:r>
        <w:t xml:space="preserve">, indicating </w:t>
      </w:r>
      <w:r w:rsidRPr="00656F94">
        <w:rPr>
          <w:b/>
          <w:bCs/>
        </w:rPr>
        <w:t>significant governance challenges</w:t>
      </w:r>
    </w:p>
    <w:p w14:paraId="44476A15" w14:textId="77777777" w:rsidR="007F24F3" w:rsidRDefault="00000000">
      <w:pPr>
        <w:pStyle w:val="Heading2"/>
      </w:pPr>
      <w:r>
        <w:lastRenderedPageBreak/>
        <w:t>5. Methodology Notes</w:t>
      </w:r>
    </w:p>
    <w:p w14:paraId="5AC5A4A9" w14:textId="77777777" w:rsidR="0072529D" w:rsidRDefault="00000000" w:rsidP="00BD7146">
      <w:pPr>
        <w:spacing w:line="240" w:lineRule="auto"/>
        <w:jc w:val="both"/>
      </w:pPr>
      <w:r>
        <w:t xml:space="preserve">The </w:t>
      </w:r>
      <w:r w:rsidRPr="00F04434">
        <w:rPr>
          <w:b/>
          <w:bCs/>
        </w:rPr>
        <w:t>Ibrahim Index of African Governance</w:t>
      </w:r>
      <w:r>
        <w:t xml:space="preserve"> (IIAG) provides a comprehensive assessment</w:t>
      </w:r>
      <w:r w:rsidR="0072529D">
        <w:t xml:space="preserve"> </w:t>
      </w:r>
      <w:r>
        <w:t>framework:</w:t>
      </w:r>
      <w:r>
        <w:br/>
      </w:r>
    </w:p>
    <w:p w14:paraId="63EAA79D" w14:textId="77777777" w:rsidR="00BD7146" w:rsidRDefault="00000000" w:rsidP="00BD7146">
      <w:pPr>
        <w:pStyle w:val="ListParagraph"/>
        <w:numPr>
          <w:ilvl w:val="1"/>
          <w:numId w:val="27"/>
        </w:numPr>
        <w:spacing w:line="360" w:lineRule="auto"/>
      </w:pPr>
      <w:r>
        <w:t xml:space="preserve">Covers </w:t>
      </w:r>
      <w:r w:rsidRPr="00034A38">
        <w:rPr>
          <w:b/>
          <w:bCs/>
        </w:rPr>
        <w:t>54</w:t>
      </w:r>
      <w:r>
        <w:t xml:space="preserve"> African countries</w:t>
      </w:r>
    </w:p>
    <w:p w14:paraId="03F8DF85" w14:textId="77777777" w:rsidR="00BD7146" w:rsidRDefault="00000000" w:rsidP="00BD7146">
      <w:pPr>
        <w:pStyle w:val="ListParagraph"/>
        <w:numPr>
          <w:ilvl w:val="1"/>
          <w:numId w:val="27"/>
        </w:numPr>
        <w:spacing w:line="360" w:lineRule="auto"/>
      </w:pPr>
      <w:r>
        <w:t xml:space="preserve">Uses approximately </w:t>
      </w:r>
      <w:r w:rsidRPr="00034A38">
        <w:rPr>
          <w:b/>
          <w:bCs/>
        </w:rPr>
        <w:t>100</w:t>
      </w:r>
      <w:r>
        <w:t xml:space="preserve"> indicators from approximately </w:t>
      </w:r>
      <w:r w:rsidRPr="00034A38">
        <w:rPr>
          <w:b/>
          <w:bCs/>
        </w:rPr>
        <w:t>30</w:t>
      </w:r>
      <w:r>
        <w:t xml:space="preserve"> independent sources</w:t>
      </w:r>
    </w:p>
    <w:p w14:paraId="6BE52B9A" w14:textId="77777777" w:rsidR="00BD7146" w:rsidRDefault="00000000" w:rsidP="00BD7146">
      <w:pPr>
        <w:pStyle w:val="ListParagraph"/>
        <w:numPr>
          <w:ilvl w:val="1"/>
          <w:numId w:val="27"/>
        </w:numPr>
        <w:spacing w:line="360" w:lineRule="auto"/>
      </w:pPr>
      <w:r>
        <w:t xml:space="preserve">Scores range from </w:t>
      </w:r>
      <w:r w:rsidRPr="00034A38">
        <w:rPr>
          <w:b/>
          <w:bCs/>
        </w:rPr>
        <w:t>0-100</w:t>
      </w:r>
      <w:r>
        <w:t xml:space="preserve"> (higher is better)</w:t>
      </w:r>
    </w:p>
    <w:p w14:paraId="31B286EC" w14:textId="77777777" w:rsidR="00BD7146" w:rsidRDefault="00000000" w:rsidP="00BD7146">
      <w:pPr>
        <w:pStyle w:val="ListParagraph"/>
        <w:numPr>
          <w:ilvl w:val="1"/>
          <w:numId w:val="27"/>
        </w:numPr>
        <w:spacing w:line="360" w:lineRule="auto"/>
      </w:pPr>
      <w:r w:rsidRPr="00034A38">
        <w:rPr>
          <w:b/>
          <w:bCs/>
        </w:rPr>
        <w:t>Four</w:t>
      </w:r>
      <w:r>
        <w:t xml:space="preserve"> main categories with equal weighting</w:t>
      </w:r>
    </w:p>
    <w:p w14:paraId="02BD7DE0" w14:textId="5BB3B86F" w:rsidR="007F24F3" w:rsidRDefault="00000000" w:rsidP="00BD7146">
      <w:pPr>
        <w:pStyle w:val="ListParagraph"/>
        <w:numPr>
          <w:ilvl w:val="1"/>
          <w:numId w:val="27"/>
        </w:numPr>
        <w:spacing w:line="360" w:lineRule="auto"/>
      </w:pPr>
      <w:r w:rsidRPr="00034A38">
        <w:rPr>
          <w:b/>
          <w:bCs/>
        </w:rPr>
        <w:t xml:space="preserve">Annual </w:t>
      </w:r>
      <w:r>
        <w:t>updates reflecting latest available data</w:t>
      </w:r>
    </w:p>
    <w:p w14:paraId="3A92B079" w14:textId="77777777" w:rsidR="007F24F3" w:rsidRDefault="00000000">
      <w:r>
        <w:br w:type="page"/>
      </w:r>
    </w:p>
    <w:p w14:paraId="4C59E4DE" w14:textId="77777777" w:rsidR="007F24F3" w:rsidRDefault="00000000">
      <w:pPr>
        <w:pStyle w:val="Heading2"/>
      </w:pPr>
      <w:r>
        <w:lastRenderedPageBreak/>
        <w:t>ABOUT THE IBRAHIM INDEX OF AFRICAN GOVERNANCE (IIAG)</w:t>
      </w:r>
    </w:p>
    <w:p w14:paraId="73F49AF4" w14:textId="77777777" w:rsidR="00846E7B" w:rsidRDefault="00846E7B" w:rsidP="00F162EE">
      <w:pPr>
        <w:jc w:val="both"/>
      </w:pPr>
    </w:p>
    <w:p w14:paraId="2FADFC28" w14:textId="3066D48B" w:rsidR="007F24F3" w:rsidRDefault="00000000" w:rsidP="00F162EE">
      <w:pPr>
        <w:jc w:val="both"/>
      </w:pPr>
      <w:r>
        <w:t xml:space="preserve">The IIAG is the most comprehensive assessment of African governance, providing an annual statistical measure of governance performance in every African country. Launched in 2007 by the </w:t>
      </w:r>
      <w:r w:rsidRPr="003C7994">
        <w:rPr>
          <w:b/>
          <w:bCs/>
        </w:rPr>
        <w:t>Mo Ibrahim Foundation</w:t>
      </w:r>
      <w:r>
        <w:t xml:space="preserve">, it covers all </w:t>
      </w:r>
      <w:r w:rsidRPr="003C7994">
        <w:rPr>
          <w:b/>
          <w:bCs/>
        </w:rPr>
        <w:t>54</w:t>
      </w:r>
      <w:r>
        <w:t xml:space="preserve"> African countries and is based on data from over 30 independent African and global institutions.</w:t>
      </w:r>
    </w:p>
    <w:p w14:paraId="211DC2F8" w14:textId="77777777" w:rsidR="003C7994" w:rsidRDefault="00000000" w:rsidP="00F162EE">
      <w:pPr>
        <w:jc w:val="both"/>
      </w:pPr>
      <w:r>
        <w:t xml:space="preserve">The Index measures governance performance across four main categories: </w:t>
      </w:r>
    </w:p>
    <w:p w14:paraId="19DECB21" w14:textId="41A2CEFC" w:rsidR="003C7994" w:rsidRDefault="00000000" w:rsidP="003C7994">
      <w:pPr>
        <w:pStyle w:val="ListParagraph"/>
        <w:numPr>
          <w:ilvl w:val="0"/>
          <w:numId w:val="40"/>
        </w:numPr>
        <w:jc w:val="both"/>
      </w:pPr>
      <w:r w:rsidRPr="003C7994">
        <w:rPr>
          <w:b/>
          <w:bCs/>
        </w:rPr>
        <w:t>Security &amp; Rule of Law</w:t>
      </w:r>
      <w:r>
        <w:t xml:space="preserve"> </w:t>
      </w:r>
    </w:p>
    <w:p w14:paraId="4EE64582" w14:textId="1DEB60E2" w:rsidR="003C7994" w:rsidRDefault="00000000" w:rsidP="003C7994">
      <w:pPr>
        <w:pStyle w:val="ListParagraph"/>
        <w:numPr>
          <w:ilvl w:val="0"/>
          <w:numId w:val="40"/>
        </w:numPr>
        <w:jc w:val="both"/>
      </w:pPr>
      <w:r w:rsidRPr="003C7994">
        <w:rPr>
          <w:b/>
          <w:bCs/>
        </w:rPr>
        <w:t>Participation, Rights &amp; Inclusion</w:t>
      </w:r>
      <w:r>
        <w:t xml:space="preserve"> </w:t>
      </w:r>
    </w:p>
    <w:p w14:paraId="2FFE794D" w14:textId="2EB1EDC4" w:rsidR="003C7994" w:rsidRDefault="00000000" w:rsidP="003C7994">
      <w:pPr>
        <w:pStyle w:val="ListParagraph"/>
        <w:numPr>
          <w:ilvl w:val="0"/>
          <w:numId w:val="40"/>
        </w:numPr>
        <w:jc w:val="both"/>
      </w:pPr>
      <w:r w:rsidRPr="003C7994">
        <w:rPr>
          <w:b/>
          <w:bCs/>
        </w:rPr>
        <w:t>Foundations for Economic Opportunity</w:t>
      </w:r>
      <w:r>
        <w:t xml:space="preserve"> </w:t>
      </w:r>
    </w:p>
    <w:p w14:paraId="620DAC96" w14:textId="173C5986" w:rsidR="003C7994" w:rsidRDefault="00000000" w:rsidP="003C7994">
      <w:pPr>
        <w:pStyle w:val="ListParagraph"/>
        <w:numPr>
          <w:ilvl w:val="0"/>
          <w:numId w:val="40"/>
        </w:numPr>
        <w:jc w:val="both"/>
      </w:pPr>
      <w:r w:rsidRPr="003C7994">
        <w:rPr>
          <w:b/>
          <w:bCs/>
        </w:rPr>
        <w:t>Human Development</w:t>
      </w:r>
    </w:p>
    <w:p w14:paraId="3D55BF12" w14:textId="508038BE" w:rsidR="00F162EE" w:rsidRDefault="00000000" w:rsidP="00F162EE">
      <w:pPr>
        <w:jc w:val="both"/>
      </w:pPr>
      <w:r>
        <w:t>Each category comprises subcategories and indicators that assess different dimensions of governance, from civil liberties to infrastructure development.</w:t>
      </w:r>
    </w:p>
    <w:p w14:paraId="081B9127" w14:textId="77777777" w:rsidR="00034A38" w:rsidRDefault="00034A38" w:rsidP="00F162EE">
      <w:pPr>
        <w:jc w:val="both"/>
      </w:pPr>
    </w:p>
    <w:p w14:paraId="1F2C95EB" w14:textId="77777777" w:rsidR="007F24F3" w:rsidRDefault="00000000">
      <w:pPr>
        <w:pStyle w:val="Heading2"/>
      </w:pPr>
      <w:r>
        <w:t>METHODOLOGY</w:t>
      </w:r>
    </w:p>
    <w:p w14:paraId="0C800A34" w14:textId="2B888121" w:rsidR="007F24F3" w:rsidRDefault="00000000" w:rsidP="00F162EE">
      <w:pPr>
        <w:jc w:val="both"/>
      </w:pPr>
      <w:r>
        <w:rPr>
          <w:b/>
        </w:rPr>
        <w:t xml:space="preserve">Data Sources: </w:t>
      </w:r>
      <w:r>
        <w:t xml:space="preserve">The IIAG uses approximately </w:t>
      </w:r>
      <w:r w:rsidRPr="00F162EE">
        <w:rPr>
          <w:b/>
          <w:bCs/>
        </w:rPr>
        <w:t>100</w:t>
      </w:r>
      <w:r>
        <w:t xml:space="preserve"> indicators from reputable independent sources including international organizations, research institutes, and African institutions.</w:t>
      </w:r>
      <w:r>
        <w:br/>
      </w:r>
      <w:r>
        <w:br/>
      </w:r>
      <w:r>
        <w:rPr>
          <w:b/>
        </w:rPr>
        <w:t xml:space="preserve">Scoring: </w:t>
      </w:r>
      <w:r>
        <w:t xml:space="preserve">All indicators are converted to a </w:t>
      </w:r>
      <w:r w:rsidRPr="00F162EE">
        <w:rPr>
          <w:b/>
          <w:bCs/>
        </w:rPr>
        <w:t>0</w:t>
      </w:r>
      <w:r w:rsidR="003C7994">
        <w:rPr>
          <w:b/>
          <w:bCs/>
        </w:rPr>
        <w:t xml:space="preserve"> </w:t>
      </w:r>
      <w:r w:rsidRPr="00F162EE">
        <w:rPr>
          <w:b/>
          <w:bCs/>
        </w:rPr>
        <w:t>-</w:t>
      </w:r>
      <w:r w:rsidR="003C7994">
        <w:rPr>
          <w:b/>
          <w:bCs/>
        </w:rPr>
        <w:t xml:space="preserve"> </w:t>
      </w:r>
      <w:r w:rsidRPr="00F162EE">
        <w:rPr>
          <w:b/>
          <w:bCs/>
        </w:rPr>
        <w:t>100</w:t>
      </w:r>
      <w:r>
        <w:t xml:space="preserve"> scale where </w:t>
      </w:r>
      <w:r w:rsidRPr="00F162EE">
        <w:rPr>
          <w:b/>
          <w:bCs/>
        </w:rPr>
        <w:t>100</w:t>
      </w:r>
      <w:r>
        <w:t xml:space="preserve"> represents the best possible outcome. Country scores are calculated as </w:t>
      </w:r>
      <w:r w:rsidRPr="00F162EE">
        <w:rPr>
          <w:b/>
          <w:bCs/>
        </w:rPr>
        <w:t>weighted averages</w:t>
      </w:r>
      <w:r>
        <w:t xml:space="preserve"> of indicator values.</w:t>
      </w:r>
      <w:r>
        <w:br/>
      </w:r>
      <w:r>
        <w:br/>
      </w:r>
      <w:r>
        <w:rPr>
          <w:b/>
        </w:rPr>
        <w:t xml:space="preserve">Coverage: </w:t>
      </w:r>
      <w:r>
        <w:t xml:space="preserve">The analysis in this report covers </w:t>
      </w:r>
      <w:r w:rsidRPr="00F162EE">
        <w:rPr>
          <w:b/>
          <w:bCs/>
        </w:rPr>
        <w:t>2014-2023</w:t>
      </w:r>
      <w:r>
        <w:t xml:space="preserve">, examining trends across </w:t>
      </w:r>
      <w:r w:rsidRPr="00F162EE">
        <w:rPr>
          <w:b/>
          <w:bCs/>
        </w:rPr>
        <w:t>54</w:t>
      </w:r>
      <w:r>
        <w:t xml:space="preserve"> countries and providing insights into governance performance at continental, regional, and national levels.</w:t>
      </w:r>
    </w:p>
    <w:p w14:paraId="18B45DED" w14:textId="77777777" w:rsidR="00034A38" w:rsidRDefault="00034A38" w:rsidP="00F162EE">
      <w:pPr>
        <w:jc w:val="both"/>
      </w:pPr>
    </w:p>
    <w:p w14:paraId="2714185A" w14:textId="77777777" w:rsidR="007F24F3" w:rsidRDefault="00000000">
      <w:pPr>
        <w:pStyle w:val="Heading2"/>
      </w:pPr>
      <w:r>
        <w:t>ACKNOWLEDGMENTS</w:t>
      </w:r>
    </w:p>
    <w:p w14:paraId="48F6F5A8" w14:textId="1967B519" w:rsidR="007F24F3" w:rsidRDefault="00000000" w:rsidP="00F162EE">
      <w:pPr>
        <w:jc w:val="both"/>
      </w:pPr>
      <w:r>
        <w:t>This report utilizes data provided by the Mo Ibrahim Foundation under their open data policy. The analysis, interpretations, and conclusions presented are those of the report author</w:t>
      </w:r>
      <w:r w:rsidR="00F04434">
        <w:t>, based on the data assessed,</w:t>
      </w:r>
      <w:r>
        <w:t xml:space="preserve"> and do not necessarily reflect the views of the Mo Ibrahim Foundation.</w:t>
      </w:r>
    </w:p>
    <w:p w14:paraId="18D3D963" w14:textId="77777777" w:rsidR="00034A38" w:rsidRDefault="00034A38" w:rsidP="00F162EE">
      <w:pPr>
        <w:jc w:val="both"/>
      </w:pPr>
    </w:p>
    <w:p w14:paraId="55EDD302" w14:textId="77777777" w:rsidR="00034A38" w:rsidRDefault="00034A38" w:rsidP="00F162EE">
      <w:pPr>
        <w:jc w:val="both"/>
      </w:pPr>
    </w:p>
    <w:p w14:paraId="5D2B988B" w14:textId="77777777" w:rsidR="00034A38" w:rsidRDefault="00034A38" w:rsidP="00F162EE">
      <w:pPr>
        <w:jc w:val="both"/>
      </w:pPr>
    </w:p>
    <w:p w14:paraId="36A48B82" w14:textId="77777777" w:rsidR="00034A38" w:rsidRDefault="00034A38" w:rsidP="00F162EE">
      <w:pPr>
        <w:jc w:val="both"/>
      </w:pPr>
    </w:p>
    <w:p w14:paraId="5B315862" w14:textId="77777777" w:rsidR="00034A38" w:rsidRDefault="00034A38" w:rsidP="00F162EE">
      <w:pPr>
        <w:jc w:val="both"/>
      </w:pPr>
    </w:p>
    <w:p w14:paraId="6C5F5245" w14:textId="77777777" w:rsidR="00034A38" w:rsidRDefault="00034A38" w:rsidP="00034A38">
      <w:pPr>
        <w:pStyle w:val="Heading1"/>
      </w:pPr>
      <w:r>
        <w:lastRenderedPageBreak/>
        <w:t>REFERENCES</w:t>
      </w:r>
    </w:p>
    <w:p w14:paraId="1FE40865" w14:textId="77777777" w:rsidR="00034A38" w:rsidRDefault="00034A38" w:rsidP="00034A38">
      <w:r>
        <w:t>Mo Ibrahim Foundation (2024). Ibrahim Index of African Governance (IIAG) 2024. Available at: https://mo.ibrahim.foundation/iiag [Accessed: 11 October 2025].</w:t>
      </w:r>
    </w:p>
    <w:p w14:paraId="0A22D0C1" w14:textId="77777777" w:rsidR="00034A38" w:rsidRDefault="00034A38" w:rsidP="00034A38">
      <w:pPr>
        <w:spacing w:line="240" w:lineRule="auto"/>
      </w:pPr>
      <w:r>
        <w:br/>
        <w:t>Mo Ibrahim Foundation (2024). '2024 IIAG Composite Scores Dataset'. Mo Ibrahim Foundation Data Portal.</w:t>
      </w:r>
    </w:p>
    <w:p w14:paraId="74AF2938" w14:textId="77777777" w:rsidR="00034A38" w:rsidRDefault="00034A38" w:rsidP="00034A38">
      <w:pPr>
        <w:spacing w:line="240" w:lineRule="auto"/>
      </w:pPr>
      <w:r>
        <w:br/>
        <w:t>Mo Ibrahim Foundation (2023). 2023 Ibrahim Index of African Governance: Index Report. London: Mo Ibrahim Foundation.</w:t>
      </w:r>
    </w:p>
    <w:p w14:paraId="7ECD3084" w14:textId="77777777" w:rsidR="00034A38" w:rsidRDefault="00034A38" w:rsidP="00034A38">
      <w:pPr>
        <w:spacing w:line="240" w:lineRule="auto"/>
      </w:pPr>
      <w:r>
        <w:br/>
        <w:t>African Development Bank (2023). African Economic Outlook 2023. Abidjan: African Development Bank Group.</w:t>
      </w:r>
    </w:p>
    <w:p w14:paraId="20CB3CCE" w14:textId="77777777" w:rsidR="00034A38" w:rsidRDefault="00034A38" w:rsidP="00034A38">
      <w:pPr>
        <w:spacing w:line="240" w:lineRule="auto"/>
      </w:pPr>
      <w:r>
        <w:br/>
        <w:t>United Nations Development Programme (2023). Human Development Report 2023. New York: UNDP.</w:t>
      </w:r>
    </w:p>
    <w:p w14:paraId="2FE86043" w14:textId="77777777" w:rsidR="00034A38" w:rsidRDefault="00034A38" w:rsidP="00034A38">
      <w:pPr>
        <w:spacing w:line="240" w:lineRule="auto"/>
      </w:pPr>
      <w:r>
        <w:br/>
        <w:t>World Bank (2023). Worldwide Governance Indicators 2023. Washington DC: World Bank Group.</w:t>
      </w:r>
    </w:p>
    <w:p w14:paraId="3AEB350F" w14:textId="77777777" w:rsidR="00034A38" w:rsidRDefault="00034A38" w:rsidP="00F162EE">
      <w:pPr>
        <w:jc w:val="both"/>
      </w:pPr>
    </w:p>
    <w:sectPr w:rsidR="00034A38" w:rsidSect="00034616">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9374F" w14:textId="77777777" w:rsidR="008730FA" w:rsidRDefault="008730FA" w:rsidP="00C70FA2">
      <w:pPr>
        <w:spacing w:after="0" w:line="240" w:lineRule="auto"/>
      </w:pPr>
      <w:r>
        <w:separator/>
      </w:r>
    </w:p>
  </w:endnote>
  <w:endnote w:type="continuationSeparator" w:id="0">
    <w:p w14:paraId="36F207B7" w14:textId="77777777" w:rsidR="008730FA" w:rsidRDefault="008730FA" w:rsidP="00C70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112877"/>
      <w:docPartObj>
        <w:docPartGallery w:val="Page Numbers (Bottom of Page)"/>
        <w:docPartUnique/>
      </w:docPartObj>
    </w:sdtPr>
    <w:sdtContent>
      <w:p w14:paraId="6C3ACB17" w14:textId="47E96688" w:rsidR="00C70FA2" w:rsidRDefault="00C70FA2">
        <w:pPr>
          <w:pStyle w:val="Footer"/>
          <w:jc w:val="center"/>
        </w:pPr>
        <w:r>
          <w:fldChar w:fldCharType="begin"/>
        </w:r>
        <w:r>
          <w:instrText>PAGE   \* MERGEFORMAT</w:instrText>
        </w:r>
        <w:r>
          <w:fldChar w:fldCharType="separate"/>
        </w:r>
        <w:r>
          <w:rPr>
            <w:lang w:val="en-GB"/>
          </w:rPr>
          <w:t>2</w:t>
        </w:r>
        <w:r>
          <w:fldChar w:fldCharType="end"/>
        </w:r>
      </w:p>
    </w:sdtContent>
  </w:sdt>
  <w:p w14:paraId="6370A0A5" w14:textId="77777777" w:rsidR="00C70FA2" w:rsidRDefault="00C70F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0F294" w14:textId="77777777" w:rsidR="008730FA" w:rsidRDefault="008730FA" w:rsidP="00C70FA2">
      <w:pPr>
        <w:spacing w:after="0" w:line="240" w:lineRule="auto"/>
      </w:pPr>
      <w:r>
        <w:separator/>
      </w:r>
    </w:p>
  </w:footnote>
  <w:footnote w:type="continuationSeparator" w:id="0">
    <w:p w14:paraId="65F9FA58" w14:textId="77777777" w:rsidR="008730FA" w:rsidRDefault="008730FA" w:rsidP="00C70F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B259D"/>
    <w:multiLevelType w:val="hybridMultilevel"/>
    <w:tmpl w:val="3EF237E4"/>
    <w:lvl w:ilvl="0" w:tplc="08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0B142947"/>
    <w:multiLevelType w:val="hybridMultilevel"/>
    <w:tmpl w:val="5FB634C8"/>
    <w:lvl w:ilvl="0" w:tplc="0809000B">
      <w:start w:val="1"/>
      <w:numFmt w:val="bullet"/>
      <w:lvlText w:val=""/>
      <w:lvlJc w:val="left"/>
      <w:pPr>
        <w:ind w:left="360" w:hanging="360"/>
      </w:pPr>
      <w:rPr>
        <w:rFonts w:ascii="Wingdings" w:hAnsi="Wingdings" w:hint="default"/>
      </w:rPr>
    </w:lvl>
    <w:lvl w:ilvl="1" w:tplc="6A2C7456">
      <w:numFmt w:val="bullet"/>
      <w:lvlText w:val="•"/>
      <w:lvlJc w:val="left"/>
      <w:pPr>
        <w:ind w:left="1080" w:hanging="360"/>
      </w:pPr>
      <w:rPr>
        <w:rFonts w:ascii="Calibri" w:eastAsiaTheme="minorEastAsia"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0C513FDD"/>
    <w:multiLevelType w:val="hybridMultilevel"/>
    <w:tmpl w:val="98C08FEE"/>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10CA2"/>
    <w:multiLevelType w:val="hybridMultilevel"/>
    <w:tmpl w:val="03566DA4"/>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40A3F1F"/>
    <w:multiLevelType w:val="hybridMultilevel"/>
    <w:tmpl w:val="8FCACCBC"/>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F61E26"/>
    <w:multiLevelType w:val="hybridMultilevel"/>
    <w:tmpl w:val="8A96279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7A2DC9"/>
    <w:multiLevelType w:val="hybridMultilevel"/>
    <w:tmpl w:val="5C3013D2"/>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2DD130A"/>
    <w:multiLevelType w:val="hybridMultilevel"/>
    <w:tmpl w:val="17DA4982"/>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5356BD2"/>
    <w:multiLevelType w:val="hybridMultilevel"/>
    <w:tmpl w:val="6244657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F6517D"/>
    <w:multiLevelType w:val="hybridMultilevel"/>
    <w:tmpl w:val="F7DA21BA"/>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380847"/>
    <w:multiLevelType w:val="hybridMultilevel"/>
    <w:tmpl w:val="6D4C82FA"/>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A5758A8"/>
    <w:multiLevelType w:val="hybridMultilevel"/>
    <w:tmpl w:val="2490186E"/>
    <w:lvl w:ilvl="0" w:tplc="730646A0">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EC71971"/>
    <w:multiLevelType w:val="hybridMultilevel"/>
    <w:tmpl w:val="82B49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BE604E3"/>
    <w:multiLevelType w:val="hybridMultilevel"/>
    <w:tmpl w:val="49D8338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7D72CA"/>
    <w:multiLevelType w:val="hybridMultilevel"/>
    <w:tmpl w:val="F13ACB2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807FD9"/>
    <w:multiLevelType w:val="hybridMultilevel"/>
    <w:tmpl w:val="ADA64A26"/>
    <w:lvl w:ilvl="0" w:tplc="08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56344C67"/>
    <w:multiLevelType w:val="hybridMultilevel"/>
    <w:tmpl w:val="5B0E850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A622662"/>
    <w:multiLevelType w:val="hybridMultilevel"/>
    <w:tmpl w:val="6008A9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5D0A22EB"/>
    <w:multiLevelType w:val="hybridMultilevel"/>
    <w:tmpl w:val="019C1444"/>
    <w:lvl w:ilvl="0" w:tplc="08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DCB74C3"/>
    <w:multiLevelType w:val="hybridMultilevel"/>
    <w:tmpl w:val="74988A6E"/>
    <w:lvl w:ilvl="0" w:tplc="2C64672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145D94"/>
    <w:multiLevelType w:val="hybridMultilevel"/>
    <w:tmpl w:val="5EFC85C2"/>
    <w:lvl w:ilvl="0" w:tplc="FFFFFFFF">
      <w:start w:val="1"/>
      <w:numFmt w:val="bullet"/>
      <w:lvlText w:val=""/>
      <w:lvlJc w:val="left"/>
      <w:pPr>
        <w:ind w:left="720" w:hanging="360"/>
      </w:pPr>
      <w:rPr>
        <w:rFonts w:ascii="Wingdings" w:hAnsi="Wingdings" w:hint="default"/>
      </w:rPr>
    </w:lvl>
    <w:lvl w:ilvl="1" w:tplc="08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3B44DE2"/>
    <w:multiLevelType w:val="hybridMultilevel"/>
    <w:tmpl w:val="D5526888"/>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90543C5"/>
    <w:multiLevelType w:val="hybridMultilevel"/>
    <w:tmpl w:val="528E8B56"/>
    <w:lvl w:ilvl="0" w:tplc="08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6F9C7713"/>
    <w:multiLevelType w:val="hybridMultilevel"/>
    <w:tmpl w:val="748819D8"/>
    <w:lvl w:ilvl="0" w:tplc="FFFFFFFF">
      <w:start w:val="1"/>
      <w:numFmt w:val="bullet"/>
      <w:lvlText w:val=""/>
      <w:lvlJc w:val="left"/>
      <w:pPr>
        <w:ind w:left="720" w:hanging="360"/>
      </w:pPr>
      <w:rPr>
        <w:rFonts w:ascii="Wingdings" w:hAnsi="Wingdings" w:hint="default"/>
      </w:rPr>
    </w:lvl>
    <w:lvl w:ilvl="1" w:tplc="08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25B6544"/>
    <w:multiLevelType w:val="hybridMultilevel"/>
    <w:tmpl w:val="5E58EED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4066B90"/>
    <w:multiLevelType w:val="hybridMultilevel"/>
    <w:tmpl w:val="67D8694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57608DA"/>
    <w:multiLevelType w:val="hybridMultilevel"/>
    <w:tmpl w:val="AC583B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A1D029F"/>
    <w:multiLevelType w:val="hybridMultilevel"/>
    <w:tmpl w:val="53F66B1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AFE3DCC"/>
    <w:multiLevelType w:val="hybridMultilevel"/>
    <w:tmpl w:val="29A2A384"/>
    <w:lvl w:ilvl="0" w:tplc="FFFFFFFF">
      <w:start w:val="1"/>
      <w:numFmt w:val="bullet"/>
      <w:lvlText w:val=""/>
      <w:lvlJc w:val="left"/>
      <w:pPr>
        <w:ind w:left="720" w:hanging="360"/>
      </w:pPr>
      <w:rPr>
        <w:rFonts w:ascii="Wingdings" w:hAnsi="Wingdings" w:hint="default"/>
      </w:rPr>
    </w:lvl>
    <w:lvl w:ilvl="1" w:tplc="08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BBD5B32"/>
    <w:multiLevelType w:val="hybridMultilevel"/>
    <w:tmpl w:val="9C78558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7CC8645A"/>
    <w:multiLevelType w:val="hybridMultilevel"/>
    <w:tmpl w:val="87180E42"/>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875193928">
    <w:abstractNumId w:val="8"/>
  </w:num>
  <w:num w:numId="2" w16cid:durableId="905187078">
    <w:abstractNumId w:val="6"/>
  </w:num>
  <w:num w:numId="3" w16cid:durableId="2135057979">
    <w:abstractNumId w:val="5"/>
  </w:num>
  <w:num w:numId="4" w16cid:durableId="471948261">
    <w:abstractNumId w:val="4"/>
  </w:num>
  <w:num w:numId="5" w16cid:durableId="328559598">
    <w:abstractNumId w:val="7"/>
  </w:num>
  <w:num w:numId="6" w16cid:durableId="1831287320">
    <w:abstractNumId w:val="3"/>
  </w:num>
  <w:num w:numId="7" w16cid:durableId="784663421">
    <w:abstractNumId w:val="2"/>
  </w:num>
  <w:num w:numId="8" w16cid:durableId="1257636146">
    <w:abstractNumId w:val="1"/>
  </w:num>
  <w:num w:numId="9" w16cid:durableId="1334382179">
    <w:abstractNumId w:val="0"/>
  </w:num>
  <w:num w:numId="10" w16cid:durableId="1616983365">
    <w:abstractNumId w:val="23"/>
  </w:num>
  <w:num w:numId="11" w16cid:durableId="341129467">
    <w:abstractNumId w:val="15"/>
  </w:num>
  <w:num w:numId="12" w16cid:durableId="525795370">
    <w:abstractNumId w:val="38"/>
  </w:num>
  <w:num w:numId="13" w16cid:durableId="294990432">
    <w:abstractNumId w:val="19"/>
  </w:num>
  <w:num w:numId="14" w16cid:durableId="202137193">
    <w:abstractNumId w:val="16"/>
  </w:num>
  <w:num w:numId="15" w16cid:durableId="650445671">
    <w:abstractNumId w:val="39"/>
  </w:num>
  <w:num w:numId="16" w16cid:durableId="1144733412">
    <w:abstractNumId w:val="12"/>
  </w:num>
  <w:num w:numId="17" w16cid:durableId="641618645">
    <w:abstractNumId w:val="30"/>
  </w:num>
  <w:num w:numId="18" w16cid:durableId="1272513329">
    <w:abstractNumId w:val="25"/>
  </w:num>
  <w:num w:numId="19" w16cid:durableId="2102600991">
    <w:abstractNumId w:val="21"/>
  </w:num>
  <w:num w:numId="20" w16cid:durableId="1616057381">
    <w:abstractNumId w:val="28"/>
  </w:num>
  <w:num w:numId="21" w16cid:durableId="4063283">
    <w:abstractNumId w:val="24"/>
  </w:num>
  <w:num w:numId="22" w16cid:durableId="1014844610">
    <w:abstractNumId w:val="27"/>
  </w:num>
  <w:num w:numId="23" w16cid:durableId="1080517587">
    <w:abstractNumId w:val="10"/>
  </w:num>
  <w:num w:numId="24" w16cid:durableId="1147742701">
    <w:abstractNumId w:val="9"/>
  </w:num>
  <w:num w:numId="25" w16cid:durableId="529344785">
    <w:abstractNumId w:val="31"/>
  </w:num>
  <w:num w:numId="26" w16cid:durableId="1398480851">
    <w:abstractNumId w:val="11"/>
  </w:num>
  <w:num w:numId="27" w16cid:durableId="1108044661">
    <w:abstractNumId w:val="29"/>
  </w:num>
  <w:num w:numId="28" w16cid:durableId="36664615">
    <w:abstractNumId w:val="13"/>
  </w:num>
  <w:num w:numId="29" w16cid:durableId="163982619">
    <w:abstractNumId w:val="37"/>
  </w:num>
  <w:num w:numId="30" w16cid:durableId="1381781797">
    <w:abstractNumId w:val="18"/>
  </w:num>
  <w:num w:numId="31" w16cid:durableId="1752197605">
    <w:abstractNumId w:val="32"/>
  </w:num>
  <w:num w:numId="32" w16cid:durableId="1277981819">
    <w:abstractNumId w:val="26"/>
  </w:num>
  <w:num w:numId="33" w16cid:durableId="325329439">
    <w:abstractNumId w:val="17"/>
  </w:num>
  <w:num w:numId="34" w16cid:durableId="1075515006">
    <w:abstractNumId w:val="20"/>
  </w:num>
  <w:num w:numId="35" w16cid:durableId="159660505">
    <w:abstractNumId w:val="36"/>
  </w:num>
  <w:num w:numId="36" w16cid:durableId="236480780">
    <w:abstractNumId w:val="22"/>
  </w:num>
  <w:num w:numId="37" w16cid:durableId="2046174407">
    <w:abstractNumId w:val="14"/>
  </w:num>
  <w:num w:numId="38" w16cid:durableId="855339738">
    <w:abstractNumId w:val="35"/>
  </w:num>
  <w:num w:numId="39" w16cid:durableId="1613129243">
    <w:abstractNumId w:val="34"/>
  </w:num>
  <w:num w:numId="40" w16cid:durableId="128130280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318"/>
    <w:rsid w:val="00034616"/>
    <w:rsid w:val="00034A38"/>
    <w:rsid w:val="00050101"/>
    <w:rsid w:val="0005776A"/>
    <w:rsid w:val="0006063C"/>
    <w:rsid w:val="00072BBA"/>
    <w:rsid w:val="000B3825"/>
    <w:rsid w:val="0015074B"/>
    <w:rsid w:val="00156C44"/>
    <w:rsid w:val="001B0294"/>
    <w:rsid w:val="0025100C"/>
    <w:rsid w:val="00255C95"/>
    <w:rsid w:val="00262823"/>
    <w:rsid w:val="00270C5B"/>
    <w:rsid w:val="0029639D"/>
    <w:rsid w:val="00326F90"/>
    <w:rsid w:val="003B3F1C"/>
    <w:rsid w:val="003C7994"/>
    <w:rsid w:val="003E7A89"/>
    <w:rsid w:val="00420FE4"/>
    <w:rsid w:val="00423930"/>
    <w:rsid w:val="004308FF"/>
    <w:rsid w:val="00462865"/>
    <w:rsid w:val="004B0919"/>
    <w:rsid w:val="00544D34"/>
    <w:rsid w:val="00545A14"/>
    <w:rsid w:val="00553F22"/>
    <w:rsid w:val="005920EF"/>
    <w:rsid w:val="005B18E1"/>
    <w:rsid w:val="00604678"/>
    <w:rsid w:val="006349CA"/>
    <w:rsid w:val="00656F94"/>
    <w:rsid w:val="006646D9"/>
    <w:rsid w:val="0068775D"/>
    <w:rsid w:val="00696A1B"/>
    <w:rsid w:val="006B7779"/>
    <w:rsid w:val="00720736"/>
    <w:rsid w:val="00723C99"/>
    <w:rsid w:val="0072529D"/>
    <w:rsid w:val="00775961"/>
    <w:rsid w:val="00790DF3"/>
    <w:rsid w:val="007C54EB"/>
    <w:rsid w:val="007E0A82"/>
    <w:rsid w:val="007F24F3"/>
    <w:rsid w:val="00846E7B"/>
    <w:rsid w:val="0084759F"/>
    <w:rsid w:val="008602B1"/>
    <w:rsid w:val="0087242E"/>
    <w:rsid w:val="008730FA"/>
    <w:rsid w:val="008D1B14"/>
    <w:rsid w:val="008E1A4C"/>
    <w:rsid w:val="00913899"/>
    <w:rsid w:val="00955BB6"/>
    <w:rsid w:val="009A5744"/>
    <w:rsid w:val="009D2352"/>
    <w:rsid w:val="00A042A1"/>
    <w:rsid w:val="00AA1D8D"/>
    <w:rsid w:val="00AA21B9"/>
    <w:rsid w:val="00AA274C"/>
    <w:rsid w:val="00AB1BCA"/>
    <w:rsid w:val="00B47730"/>
    <w:rsid w:val="00B76C3A"/>
    <w:rsid w:val="00BD7146"/>
    <w:rsid w:val="00C70FA2"/>
    <w:rsid w:val="00CB0664"/>
    <w:rsid w:val="00D53D49"/>
    <w:rsid w:val="00D90A32"/>
    <w:rsid w:val="00D95D5B"/>
    <w:rsid w:val="00E51154"/>
    <w:rsid w:val="00E56F84"/>
    <w:rsid w:val="00EA5EF5"/>
    <w:rsid w:val="00EE5A04"/>
    <w:rsid w:val="00F0204A"/>
    <w:rsid w:val="00F04434"/>
    <w:rsid w:val="00F162EE"/>
    <w:rsid w:val="00F63AE7"/>
    <w:rsid w:val="00F66783"/>
    <w:rsid w:val="00FC03EC"/>
    <w:rsid w:val="00FC693F"/>
    <w:rsid w:val="00FC7F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68AB5"/>
  <w14:defaultImageDpi w14:val="300"/>
  <w15:docId w15:val="{65ED6981-A2FD-4DFD-93BB-CB0AE67B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2103</Words>
  <Characters>11993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Cyprian FUSI</cp:lastModifiedBy>
  <cp:revision>7</cp:revision>
  <dcterms:created xsi:type="dcterms:W3CDTF">2025-10-12T08:31:00Z</dcterms:created>
  <dcterms:modified xsi:type="dcterms:W3CDTF">2025-11-16T09:49:00Z</dcterms:modified>
  <cp:category/>
</cp:coreProperties>
</file>